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Утвержден</w:t>
      </w:r>
      <w:r w:rsidR="00C73645" w:rsidRPr="007020C2">
        <w:rPr>
          <w:rFonts w:ascii="Times New Roman" w:eastAsia="Times New Roman" w:hAnsi="Times New Roman" w:cs="Times New Roman"/>
          <w:sz w:val="24"/>
          <w:szCs w:val="24"/>
          <w:lang w:eastAsia="ru-RU"/>
        </w:rPr>
        <w:t>ы</w:t>
      </w:r>
    </w:p>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решением Совета депутатов</w:t>
      </w:r>
    </w:p>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Богородского городского округа</w:t>
      </w:r>
    </w:p>
    <w:p w:rsidR="00BF3992" w:rsidRPr="007020C2" w:rsidRDefault="00D2344C" w:rsidP="00C73645">
      <w:pPr>
        <w:spacing w:after="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24.12.2019</w:t>
      </w:r>
      <w:r w:rsidR="00BF3992" w:rsidRPr="007020C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302</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p>
    <w:p w:rsidR="00D54D1B" w:rsidRPr="007020C2" w:rsidRDefault="00F639AF" w:rsidP="00D54D1B">
      <w:pPr>
        <w:pStyle w:val="a3"/>
        <w:spacing w:before="0" w:beforeAutospacing="0" w:after="0" w:afterAutospacing="0" w:line="276" w:lineRule="auto"/>
        <w:jc w:val="center"/>
        <w:textAlignment w:val="baseline"/>
        <w:rPr>
          <w:b/>
          <w:bCs/>
          <w:bdr w:val="none" w:sz="0" w:space="0" w:color="auto" w:frame="1"/>
        </w:rPr>
      </w:pPr>
      <w:r w:rsidRPr="007020C2">
        <w:rPr>
          <w:b/>
          <w:bCs/>
          <w:bdr w:val="none" w:sz="0" w:space="0" w:color="auto" w:frame="1"/>
        </w:rPr>
        <w:t>Местные нормативы градостроительного проектирования </w:t>
      </w:r>
    </w:p>
    <w:p w:rsidR="00F639AF" w:rsidRPr="007020C2" w:rsidRDefault="00F639AF" w:rsidP="00D54D1B">
      <w:pPr>
        <w:pStyle w:val="a3"/>
        <w:spacing w:before="0" w:beforeAutospacing="0" w:after="0" w:afterAutospacing="0" w:line="276" w:lineRule="auto"/>
        <w:jc w:val="center"/>
        <w:textAlignment w:val="baseline"/>
      </w:pPr>
      <w:r w:rsidRPr="007020C2">
        <w:rPr>
          <w:b/>
          <w:bCs/>
          <w:bdr w:val="none" w:sz="0" w:space="0" w:color="auto" w:frame="1"/>
        </w:rPr>
        <w:t>Богородского городского округа Московской области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F639AF" w:rsidP="00D54D1B">
      <w:pPr>
        <w:numPr>
          <w:ilvl w:val="0"/>
          <w:numId w:val="8"/>
        </w:numPr>
        <w:spacing w:after="0"/>
        <w:ind w:left="0" w:firstLine="0"/>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Общие положения</w:t>
      </w:r>
    </w:p>
    <w:p w:rsidR="00F639AF" w:rsidRPr="007020C2" w:rsidRDefault="00F639AF" w:rsidP="00D54D1B">
      <w:pPr>
        <w:spacing w:after="0"/>
        <w:jc w:val="center"/>
        <w:textAlignment w:val="baseline"/>
        <w:rPr>
          <w:rFonts w:ascii="Times New Roman" w:eastAsia="Times New Roman" w:hAnsi="Times New Roman" w:cs="Times New Roman"/>
          <w:sz w:val="24"/>
          <w:szCs w:val="24"/>
          <w:lang w:eastAsia="ru-RU"/>
        </w:rPr>
      </w:pP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1.1.</w:t>
      </w:r>
      <w:r w:rsidR="00D54D1B"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lang w:eastAsia="ru-RU"/>
        </w:rPr>
        <w:t>В местных нормативах градостроительного проектирования Богородского городского округа Московской области (далее – местные нормативы) используются следующие основные понятия: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жилой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F0190B">
        <w:rPr>
          <w:rFonts w:ascii="Times New Roman" w:eastAsia="Times New Roman" w:hAnsi="Times New Roman" w:cs="Times New Roman"/>
          <w:sz w:val="24"/>
          <w:szCs w:val="24"/>
          <w:lang w:eastAsia="ru-RU"/>
        </w:rPr>
        <w:t>жилой район</w:t>
      </w:r>
      <w:r w:rsidRPr="007020C2">
        <w:rPr>
          <w:rFonts w:ascii="Times New Roman" w:eastAsia="Times New Roman" w:hAnsi="Times New Roman" w:cs="Times New Roman"/>
          <w:sz w:val="24"/>
          <w:szCs w:val="24"/>
          <w:lang w:eastAsia="ru-RU"/>
        </w:rPr>
        <w:t xml:space="preserve"> – жилая территория </w:t>
      </w:r>
      <w:r w:rsidR="00F0190B">
        <w:rPr>
          <w:rFonts w:ascii="Times New Roman" w:eastAsia="Times New Roman" w:hAnsi="Times New Roman" w:cs="Times New Roman"/>
          <w:sz w:val="24"/>
          <w:szCs w:val="24"/>
          <w:lang w:eastAsia="ru-RU"/>
        </w:rPr>
        <w:t>населённого пункта</w:t>
      </w:r>
      <w:r w:rsidRPr="00F0190B">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формирующаяся как группа кварталов, обладающая признаками целостности, ограниченная магистральными улицами, естественными и искусственными рубежами, на которой размещаются жилые дома, объекты социального, коммунально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F0190B">
        <w:rPr>
          <w:rFonts w:ascii="Times New Roman" w:eastAsia="Times New Roman" w:hAnsi="Times New Roman" w:cs="Times New Roman"/>
          <w:sz w:val="24"/>
          <w:szCs w:val="24"/>
          <w:lang w:eastAsia="ru-RU"/>
        </w:rPr>
        <w:t>здание</w:t>
      </w:r>
      <w:r w:rsidRPr="007020C2">
        <w:rPr>
          <w:rFonts w:ascii="Times New Roman" w:eastAsia="Times New Roman" w:hAnsi="Times New Roman" w:cs="Times New Roman"/>
          <w:sz w:val="24"/>
          <w:szCs w:val="24"/>
          <w:lang w:eastAsia="ru-RU"/>
        </w:rPr>
        <w:t xml:space="preserve"> – </w:t>
      </w:r>
      <w:r w:rsidR="00F0190B">
        <w:rPr>
          <w:rFonts w:ascii="Times New Roman" w:eastAsia="Times New Roman" w:hAnsi="Times New Roman" w:cs="Times New Roman"/>
          <w:sz w:val="24"/>
          <w:szCs w:val="24"/>
          <w:lang w:eastAsia="ru-RU"/>
        </w:rPr>
        <w:t>объект капитального</w:t>
      </w:r>
      <w:r w:rsidRPr="007020C2">
        <w:rPr>
          <w:rFonts w:ascii="Times New Roman" w:eastAsia="Times New Roman" w:hAnsi="Times New Roman" w:cs="Times New Roman"/>
          <w:sz w:val="24"/>
          <w:szCs w:val="24"/>
          <w:lang w:eastAsia="ru-RU"/>
        </w:rPr>
        <w:t xml:space="preserve">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технического обеспечения и системы инженерно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 xml:space="preserve">коэффициент застройки земельного участка, жилого квартала, жилого района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земельного участка, </w:t>
      </w:r>
      <w:r w:rsidR="00F0190B">
        <w:rPr>
          <w:rFonts w:ascii="Times New Roman" w:eastAsia="Times New Roman" w:hAnsi="Times New Roman" w:cs="Times New Roman"/>
          <w:sz w:val="24"/>
          <w:szCs w:val="24"/>
          <w:lang w:eastAsia="ru-RU"/>
        </w:rPr>
        <w:t>жилого квартала, жилого района,</w:t>
      </w:r>
      <w:r w:rsidRPr="007020C2">
        <w:rPr>
          <w:rFonts w:ascii="Times New Roman" w:eastAsia="Times New Roman" w:hAnsi="Times New Roman" w:cs="Times New Roman"/>
          <w:sz w:val="24"/>
          <w:szCs w:val="24"/>
          <w:lang w:eastAsia="ru-RU"/>
        </w:rPr>
        <w:t> выраженное в процентах;</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многоквартирный дом (многоквартирный жилой дом) – жилое здание с числом квартир две и более, имеющих выходы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w:t>
      </w:r>
      <w:r w:rsidR="00054407">
        <w:rPr>
          <w:rFonts w:ascii="Times New Roman" w:eastAsia="Times New Roman" w:hAnsi="Times New Roman" w:cs="Times New Roman"/>
          <w:sz w:val="24"/>
          <w:szCs w:val="24"/>
          <w:lang w:eastAsia="ru-RU"/>
        </w:rPr>
        <w:t xml:space="preserve"> решению</w:t>
      </w:r>
      <w:r w:rsidRPr="007020C2">
        <w:rPr>
          <w:rFonts w:ascii="Times New Roman" w:eastAsia="Times New Roman" w:hAnsi="Times New Roman" w:cs="Times New Roman"/>
          <w:sz w:val="24"/>
          <w:szCs w:val="24"/>
          <w:lang w:eastAsia="ru-RU"/>
        </w:rPr>
        <w:t xml:space="preserve"> вопрос</w:t>
      </w:r>
      <w:r w:rsidR="00054407">
        <w:rPr>
          <w:rFonts w:ascii="Times New Roman" w:eastAsia="Times New Roman" w:hAnsi="Times New Roman" w:cs="Times New Roman"/>
          <w:sz w:val="24"/>
          <w:szCs w:val="24"/>
          <w:lang w:eastAsia="ru-RU"/>
        </w:rPr>
        <w:t>ов</w:t>
      </w:r>
      <w:r w:rsidRPr="007020C2">
        <w:rPr>
          <w:rFonts w:ascii="Times New Roman" w:eastAsia="Times New Roman" w:hAnsi="Times New Roman" w:cs="Times New Roman"/>
          <w:sz w:val="24"/>
          <w:szCs w:val="24"/>
          <w:lang w:eastAsia="ru-RU"/>
        </w:rPr>
        <w:t xml:space="preserve">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w:t>
      </w:r>
      <w:r w:rsidR="00054407">
        <w:rPr>
          <w:rFonts w:ascii="Times New Roman" w:eastAsia="Times New Roman" w:hAnsi="Times New Roman" w:cs="Times New Roman"/>
          <w:sz w:val="24"/>
          <w:szCs w:val="24"/>
          <w:lang w:eastAsia="ru-RU"/>
        </w:rPr>
        <w:t xml:space="preserve">Богородского </w:t>
      </w:r>
      <w:r w:rsidRPr="007020C2">
        <w:rPr>
          <w:rFonts w:ascii="Times New Roman" w:eastAsia="Times New Roman" w:hAnsi="Times New Roman" w:cs="Times New Roman"/>
          <w:sz w:val="24"/>
          <w:szCs w:val="24"/>
          <w:lang w:eastAsia="ru-RU"/>
        </w:rPr>
        <w:t>городского округа и оказывают существенное влияние на социально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экономическое развитие </w:t>
      </w:r>
      <w:r w:rsidR="00054407">
        <w:rPr>
          <w:rFonts w:ascii="Times New Roman" w:eastAsia="Times New Roman" w:hAnsi="Times New Roman" w:cs="Times New Roman"/>
          <w:sz w:val="24"/>
          <w:szCs w:val="24"/>
          <w:lang w:eastAsia="ru-RU"/>
        </w:rPr>
        <w:t xml:space="preserve">Богородского </w:t>
      </w:r>
      <w:r w:rsidRPr="007020C2">
        <w:rPr>
          <w:rFonts w:ascii="Times New Roman" w:eastAsia="Times New Roman" w:hAnsi="Times New Roman" w:cs="Times New Roman"/>
          <w:sz w:val="24"/>
          <w:szCs w:val="24"/>
          <w:lang w:eastAsia="ru-RU"/>
        </w:rPr>
        <w:t>городского округа;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плотность застройки земельного участка, жилого квартала, жилого района –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земельного участка, жилого квартала, жилого района;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помещение – часть объема здания или сооружения, имеющая определенное назначение и ограниченная строительными конструкциями;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улично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дорожная сеть – сеть улиц (улицы, проезды, переулки) и дорог, проложенных в границах населенного пункта, классифицируемых в зависимости от функционального назначения в планировочной структуре населенного пункта.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1.2. 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w:t>
      </w:r>
      <w:r w:rsidRPr="007020C2">
        <w:rPr>
          <w:rFonts w:ascii="Times New Roman" w:eastAsia="Times New Roman" w:hAnsi="Times New Roman" w:cs="Times New Roman"/>
          <w:sz w:val="24"/>
          <w:szCs w:val="24"/>
          <w:lang w:eastAsia="ru-RU"/>
        </w:rPr>
        <w:lastRenderedPageBreak/>
        <w:t>проектирования Московской области, утвержденных постановлением Правительства Московской области от 17.08.2015 № 713/30.</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1.3. Местные нормативы подготовлены в соответствии с Градостроительным кодексом Российской Федерации, Федеральным законом от 06.10.2003 № 131</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«Об общих принципах организации местного самоуправления в Российской Федерации», Законом Московской области от 24.07.2014 № 106/2014</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 713/30 «Об утверждении нормативов градостроительного проектирования Московской области» (далее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1.4. Местные нормативы обеспечивают согласованность решений комплексного социально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экономического планирования и градостроительного проектирования, определяют зависимость между показателями социально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экономического развития территорий и показателями пространственного развития территорий Богородского городского округа.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1.5. 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Богородского городского округа объектами местного значения (относящимися к областям, указанным в </w:t>
      </w:r>
      <w:hyperlink r:id="rId7" w:anchor="sub_23051" w:history="1">
        <w:r w:rsidRPr="007020C2">
          <w:rPr>
            <w:rFonts w:ascii="Times New Roman" w:eastAsia="Times New Roman" w:hAnsi="Times New Roman" w:cs="Times New Roman"/>
            <w:sz w:val="24"/>
            <w:szCs w:val="24"/>
            <w:u w:val="single"/>
            <w:bdr w:val="none" w:sz="0" w:space="0" w:color="auto" w:frame="1"/>
            <w:lang w:eastAsia="ru-RU"/>
          </w:rPr>
          <w:t>пункте 1 части 5 статьи 23</w:t>
        </w:r>
      </w:hyperlink>
      <w:r w:rsidRPr="007020C2">
        <w:rPr>
          <w:rFonts w:ascii="Times New Roman" w:eastAsia="Times New Roman" w:hAnsi="Times New Roman" w:cs="Times New Roman"/>
          <w:sz w:val="24"/>
          <w:szCs w:val="24"/>
          <w:lang w:eastAsia="ru-RU"/>
        </w:rPr>
        <w:t>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1.6. Расчетные показатели и их значения, отмеченные звездочкой (*) не связаны с решением вопросов местного значения городского округа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информационных целях для полноты описания требований при совместном размещени</w:t>
      </w:r>
      <w:r w:rsidR="00054407">
        <w:rPr>
          <w:rFonts w:ascii="Times New Roman" w:eastAsia="Times New Roman" w:hAnsi="Times New Roman" w:cs="Times New Roman"/>
          <w:sz w:val="24"/>
          <w:szCs w:val="24"/>
          <w:lang w:eastAsia="ru-RU"/>
        </w:rPr>
        <w:t>и</w:t>
      </w:r>
      <w:r w:rsidRPr="007020C2">
        <w:rPr>
          <w:rFonts w:ascii="Times New Roman" w:eastAsia="Times New Roman" w:hAnsi="Times New Roman" w:cs="Times New Roman"/>
          <w:sz w:val="24"/>
          <w:szCs w:val="24"/>
          <w:lang w:eastAsia="ru-RU"/>
        </w:rPr>
        <w:t xml:space="preserve"> объектов местного значения городского округа и объектов иного значения (в том числе регионального) на территории Богородского городского округа.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1.7. Богородский городской округ входит в состав Ногинской городской устойчивой системы расселения Московской области. В состав Богородского городского округа входят город Ногинск, город Старая Купавна, город Электроугли, рабочий посёлок им. Воровского, </w:t>
      </w:r>
      <w:r w:rsidRPr="007020C2">
        <w:rPr>
          <w:rFonts w:ascii="Times New Roman" w:eastAsia="Times New Roman" w:hAnsi="Times New Roman" w:cs="Times New Roman"/>
          <w:sz w:val="24"/>
          <w:szCs w:val="24"/>
          <w:lang w:eastAsia="ru-RU"/>
        </w:rPr>
        <w:lastRenderedPageBreak/>
        <w:t>рабочий посёлок Обухово и 77 сельских населенных пунктов. Административным центром Богородского городского округа является город Ногинск.</w:t>
      </w:r>
    </w:p>
    <w:p w:rsidR="00F639AF" w:rsidRPr="007020C2" w:rsidRDefault="00F639AF" w:rsidP="00D54D1B">
      <w:pPr>
        <w:spacing w:after="0"/>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D54D1B" w:rsidP="00D54D1B">
      <w:pPr>
        <w:spacing w:after="0"/>
        <w:ind w:left="426" w:right="282"/>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2. </w:t>
      </w:r>
      <w:r w:rsidR="00F639AF" w:rsidRPr="007020C2">
        <w:rPr>
          <w:rFonts w:ascii="Times New Roman" w:eastAsia="Times New Roman" w:hAnsi="Times New Roman" w:cs="Times New Roman"/>
          <w:b/>
          <w:bCs/>
          <w:sz w:val="24"/>
          <w:szCs w:val="24"/>
          <w:bdr w:val="none" w:sz="0" w:space="0" w:color="auto" w:frame="1"/>
          <w:lang w:eastAsia="ru-RU"/>
        </w:rPr>
        <w:t xml:space="preserve">Основная часть </w:t>
      </w:r>
      <w:r w:rsidR="00AE7596" w:rsidRPr="007020C2">
        <w:rPr>
          <w:rFonts w:ascii="Times New Roman" w:eastAsia="Times New Roman" w:hAnsi="Times New Roman" w:cs="Times New Roman"/>
          <w:b/>
          <w:bCs/>
          <w:sz w:val="24"/>
          <w:szCs w:val="24"/>
          <w:bdr w:val="none" w:sz="0" w:space="0" w:color="auto" w:frame="1"/>
          <w:lang w:eastAsia="ru-RU"/>
        </w:rPr>
        <w:t>–</w:t>
      </w:r>
      <w:r w:rsidR="00F639AF" w:rsidRPr="007020C2">
        <w:rPr>
          <w:rFonts w:ascii="Times New Roman" w:eastAsia="Times New Roman" w:hAnsi="Times New Roman" w:cs="Times New Roman"/>
          <w:b/>
          <w:bCs/>
          <w:sz w:val="24"/>
          <w:szCs w:val="24"/>
          <w:bdr w:val="none" w:sz="0" w:space="0" w:color="auto" w:frame="1"/>
          <w:lang w:eastAsia="ru-RU"/>
        </w:rPr>
        <w:t xml:space="preserve"> расчетные показатели минимально допустимого уровня обеспеченности объектами местного значения населения Богородского городского округа и расчетные показатели максимально допустимого уровня территориальной доступности таких объектов для населения Богородского городского округа</w:t>
      </w:r>
    </w:p>
    <w:p w:rsidR="00F639AF" w:rsidRPr="007020C2" w:rsidRDefault="00F639AF" w:rsidP="00D54D1B">
      <w:pPr>
        <w:spacing w:after="0"/>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 </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 Расчетные показатели в области жилищного строительства.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 Максимально допустимая этажность жилых и нежилых зданий в городе Ногинске принимается 9 этажей, в городах Старая Купавна  и Электроугли – 7 этажей, в рабочих посёлках им. Воровского и Обухово – 5 этажей, в сельских населенных пунктах – 3 этажа.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Допускается строительство и реконструкция жилых и нежилых зданий с отклонением от установленной максимально допустимой этажности в случаях, на условиях и в порядке, предусмотренны</w:t>
      </w:r>
      <w:r w:rsidR="00054407">
        <w:rPr>
          <w:rFonts w:ascii="Times New Roman" w:eastAsia="Times New Roman" w:hAnsi="Times New Roman" w:cs="Times New Roman"/>
          <w:sz w:val="24"/>
          <w:szCs w:val="24"/>
          <w:lang w:eastAsia="ru-RU"/>
        </w:rPr>
        <w:t>х</w:t>
      </w:r>
      <w:r w:rsidRPr="007020C2">
        <w:rPr>
          <w:rFonts w:ascii="Times New Roman" w:eastAsia="Times New Roman" w:hAnsi="Times New Roman" w:cs="Times New Roman"/>
          <w:sz w:val="24"/>
          <w:szCs w:val="24"/>
          <w:lang w:eastAsia="ru-RU"/>
        </w:rPr>
        <w:t xml:space="preserve"> нормативами градостроительного проектирования Московской области.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2.1.2. При определении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2.1.3. Основными элементами планировочной структуры территорий жилой застройки являются жилой район и жилой квартал.</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 максимальный коэффициент и максимальная плотность застройки многоквартирными жилыми домами, значения которых в зависимости от средней этажности приведены в таблице 1.</w:t>
      </w:r>
    </w:p>
    <w:p w:rsidR="00F639AF" w:rsidRPr="007020C2" w:rsidRDefault="00F639AF" w:rsidP="008D3A0C">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w:t>
      </w:r>
    </w:p>
    <w:tbl>
      <w:tblPr>
        <w:tblW w:w="10073" w:type="dxa"/>
        <w:jc w:val="center"/>
        <w:tblLayout w:type="fixed"/>
        <w:tblCellMar>
          <w:left w:w="0" w:type="dxa"/>
          <w:right w:w="0" w:type="dxa"/>
        </w:tblCellMar>
        <w:tblLook w:val="04A0"/>
      </w:tblPr>
      <w:tblGrid>
        <w:gridCol w:w="2135"/>
        <w:gridCol w:w="1996"/>
        <w:gridCol w:w="1973"/>
        <w:gridCol w:w="1996"/>
        <w:gridCol w:w="1973"/>
      </w:tblGrid>
      <w:tr w:rsidR="008D3A0C" w:rsidRPr="007020C2" w:rsidTr="008D3A0C">
        <w:trPr>
          <w:jc w:val="center"/>
        </w:trPr>
        <w:tc>
          <w:tcPr>
            <w:tcW w:w="21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ind w:left="-142"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Средняя этажность многоквартирных жилых домов</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Жилой квартал</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Жилой район</w:t>
            </w:r>
          </w:p>
        </w:tc>
      </w:tr>
      <w:tr w:rsidR="008D3A0C" w:rsidRPr="007020C2" w:rsidTr="008D3A0C">
        <w:trPr>
          <w:jc w:val="center"/>
        </w:trPr>
        <w:tc>
          <w:tcPr>
            <w:tcW w:w="21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8D3A0C">
            <w:pPr>
              <w:spacing w:after="0" w:line="240" w:lineRule="auto"/>
              <w:jc w:val="center"/>
              <w:rPr>
                <w:rFonts w:ascii="Times New Roman" w:eastAsia="Times New Roman" w:hAnsi="Times New Roman" w:cs="Times New Roman"/>
                <w:lang w:eastAsia="ru-RU"/>
              </w:rPr>
            </w:pP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жилыми домами, %</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плотность застройки жилыми домами,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жилыми домами, %</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плотность застройки жилыми домами,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47,9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4790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4340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34,1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5960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6250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6670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6830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6960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7270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7350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7550</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4640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32,0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5760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5910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6140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6230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6310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6380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6500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6600</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5120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5490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5630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5740</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4470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8920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bl>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максимальные расчетные показатели для промежуточных нецелочисленных значений средней этажности жилых домов рассчитываются методом линейной интерполяции;</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максимальные расчетные показатели для жилых домов выше 9 этажей для города Ногинска, выше 7 этажей для городов Старая Купавна  и Электроугли, выше 5 этажей для рабочих посёлков им. Воровского и Обухово и выше 3 этажей для сельских населенных пунктов приведены 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w:t>
      </w:r>
    </w:p>
    <w:p w:rsidR="00F639AF" w:rsidRPr="007020C2" w:rsidRDefault="00AE7596"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2 × (36,5% / 100%) × 10000 = 7300;</w:t>
      </w:r>
    </w:p>
    <w:p w:rsidR="00F639AF" w:rsidRPr="007020C2" w:rsidRDefault="00AE7596"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00F639AF" w:rsidRPr="007020C2">
        <w:rPr>
          <w:rFonts w:ascii="Times New Roman" w:eastAsia="Times New Roman" w:hAnsi="Times New Roman" w:cs="Times New Roman"/>
          <w:vertAlign w:val="superscript"/>
          <w:lang w:eastAsia="ru-RU"/>
        </w:rPr>
        <w:t>2</w:t>
      </w:r>
      <w:r w:rsidR="00F639AF" w:rsidRPr="007020C2">
        <w:rPr>
          <w:rFonts w:ascii="Times New Roman" w:eastAsia="Times New Roman" w:hAnsi="Times New Roman" w:cs="Times New Roman"/>
          <w:lang w:eastAsia="ru-RU"/>
        </w:rPr>
        <w:t> суммарной поэтажной площади наземных частей многоквартирных жилых домов.</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индивидуальные жилые дома  и отдельно стоящие объекты нежилого назначения перечисленных в таблице 6 видов;</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5) максимальные коэффициент и плотность застройки </w:t>
      </w:r>
      <w:r w:rsidR="002F0836" w:rsidRPr="007020C2">
        <w:rPr>
          <w:rFonts w:ascii="Times New Roman" w:eastAsia="Times New Roman" w:hAnsi="Times New Roman" w:cs="Times New Roman"/>
          <w:lang w:eastAsia="ru-RU"/>
        </w:rPr>
        <w:t xml:space="preserve">жилого </w:t>
      </w:r>
      <w:r w:rsidRPr="007020C2">
        <w:rPr>
          <w:rFonts w:ascii="Times New Roman" w:eastAsia="Times New Roman" w:hAnsi="Times New Roman" w:cs="Times New Roman"/>
          <w:lang w:eastAsia="ru-RU"/>
        </w:rPr>
        <w:t>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6 видов.</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8D3A0C">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2.1.5. Для расчета предельно допустимых параметров застройки жилого квартала (части жилого квартала) блокированными жилыми домами используются показатели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максимальный коэффициент и максимальная плотность застройки, значения которых в зависимости от средней этажности приведены в таблице 2.</w:t>
      </w:r>
    </w:p>
    <w:p w:rsidR="00F639AF" w:rsidRPr="007020C2" w:rsidRDefault="00F639AF" w:rsidP="008D3A0C">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w:t>
      </w:r>
    </w:p>
    <w:tbl>
      <w:tblPr>
        <w:tblW w:w="4900" w:type="pct"/>
        <w:jc w:val="center"/>
        <w:tblCellMar>
          <w:left w:w="0" w:type="dxa"/>
          <w:right w:w="0" w:type="dxa"/>
        </w:tblCellMar>
        <w:tblLook w:val="04A0"/>
      </w:tblPr>
      <w:tblGrid>
        <w:gridCol w:w="2884"/>
        <w:gridCol w:w="3559"/>
        <w:gridCol w:w="3436"/>
      </w:tblGrid>
      <w:tr w:rsidR="00460401" w:rsidRPr="007020C2" w:rsidTr="00460401">
        <w:trPr>
          <w:tblHeade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Средняя этажность блокированных жилых домов в жилом квартале</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жилыми домами, %</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плотность застройки жилыми домами,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Город Ногинск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43,3</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8650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38,6</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11570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42,1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8410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11140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10960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10960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48,4</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4840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8210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10790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48,2</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4820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40,7</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8130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10660</w:t>
            </w:r>
          </w:p>
        </w:tc>
      </w:tr>
    </w:tbl>
    <w:p w:rsidR="00F639AF" w:rsidRPr="007020C2" w:rsidRDefault="00F639AF" w:rsidP="00460401">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Примечания:</w:t>
      </w:r>
    </w:p>
    <w:p w:rsidR="00F639AF" w:rsidRPr="007020C2" w:rsidRDefault="00F639AF" w:rsidP="00460401">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максимальные расчетные показатели для промежуточных нецелочисленных значений средней этажности жилых домов рассчитываются методом линейной интерполяции;</w:t>
      </w:r>
    </w:p>
    <w:p w:rsidR="00F639AF" w:rsidRPr="007020C2" w:rsidRDefault="00F639AF" w:rsidP="00460401">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(41,0% / 100%) × 10000 = 8200.</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2.1.6. При застройке земельных участков индивидуальными жилыми домами максимальный коэффициент застройки земельного участка 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устанавливается без учета гаражей, строений и сооружений вспомогательного использования, не предназначенных для постоянного проживания. В Богородском городском округе для сельских населенных пунктов 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40%, для городских населенных пунктов 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ра</w:t>
      </w:r>
      <w:r w:rsidR="00780E69" w:rsidRPr="007020C2">
        <w:rPr>
          <w:rFonts w:ascii="Times New Roman" w:eastAsia="Times New Roman" w:hAnsi="Times New Roman" w:cs="Times New Roman"/>
          <w:sz w:val="24"/>
          <w:szCs w:val="24"/>
          <w:lang w:eastAsia="ru-RU"/>
        </w:rPr>
        <w:t>сс</w:t>
      </w:r>
      <w:r w:rsidRPr="007020C2">
        <w:rPr>
          <w:rFonts w:ascii="Times New Roman" w:eastAsia="Times New Roman" w:hAnsi="Times New Roman" w:cs="Times New Roman"/>
          <w:sz w:val="24"/>
          <w:szCs w:val="24"/>
          <w:lang w:eastAsia="ru-RU"/>
        </w:rPr>
        <w:t>читывается в зависимости от площади земельного участка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по формуле:</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40%,   если S зу</w:t>
      </w:r>
      <w:r w:rsidRPr="007020C2">
        <w:rPr>
          <w:rFonts w:ascii="Times New Roman" w:eastAsia="Times New Roman" w:hAnsi="Times New Roman" w:cs="Times New Roman"/>
          <w:sz w:val="24"/>
          <w:szCs w:val="24"/>
          <w:vertAlign w:val="subscript"/>
          <w:lang w:eastAsia="ru-RU"/>
        </w:rPr>
        <w:t>ижс </w:t>
      </w:r>
      <w:r w:rsidRPr="007020C2">
        <w:rPr>
          <w:rFonts w:ascii="Times New Roman" w:eastAsia="Times New Roman" w:hAnsi="Times New Roman" w:cs="Times New Roman"/>
          <w:sz w:val="24"/>
          <w:szCs w:val="24"/>
          <w:lang w:eastAsia="ru-RU"/>
        </w:rPr>
        <w:t>≤ 600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(600/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 40% +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00AE7596" w:rsidRPr="007020C2">
        <w:rPr>
          <w:rFonts w:ascii="Times New Roman" w:eastAsia="Times New Roman" w:hAnsi="Times New Roman" w:cs="Times New Roman"/>
          <w:sz w:val="24"/>
          <w:szCs w:val="24"/>
          <w:lang w:eastAsia="ru-RU"/>
        </w:rPr>
        <w:t xml:space="preserve">– </w:t>
      </w:r>
      <w:r w:rsidRPr="007020C2">
        <w:rPr>
          <w:rFonts w:ascii="Times New Roman" w:eastAsia="Times New Roman" w:hAnsi="Times New Roman" w:cs="Times New Roman"/>
          <w:sz w:val="24"/>
          <w:szCs w:val="24"/>
          <w:lang w:eastAsia="ru-RU"/>
        </w:rPr>
        <w:t>600)/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 10%, если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&gt; 600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b/>
          <w:bCs/>
          <w:sz w:val="24"/>
          <w:szCs w:val="24"/>
          <w:bdr w:val="none" w:sz="0" w:space="0" w:color="auto" w:frame="1"/>
          <w:lang w:eastAsia="ru-RU"/>
        </w:rPr>
        <w:t>.</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Максимальная этажность индивидуальных жилых домов  3 этажа.</w:t>
      </w:r>
    </w:p>
    <w:p w:rsidR="00651D64"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а при этажности свыше 12 этажей нежилые помещения занимают полностью первый этаж. </w:t>
      </w:r>
      <w:r w:rsidR="00651D64" w:rsidRPr="007020C2">
        <w:rPr>
          <w:rFonts w:ascii="Times New Roman" w:eastAsia="Times New Roman" w:hAnsi="Times New Roman" w:cs="Times New Roman"/>
          <w:sz w:val="24"/>
          <w:szCs w:val="24"/>
          <w:lang w:eastAsia="ru-RU"/>
        </w:rPr>
        <w:t xml:space="preserve">Преимущественно нежилые помещения в первых этажах располагаются в жилых зданиях, фасады которых выходят на жилые и (или) магистральные улицы.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школ и бизнес</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защитных зон и не оказывает вредного радиологического, электромагнитного и санитарно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эпидемиологического влияния и соблюдены условия для проведения погрузочно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разгрузочных работ.</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2.1.8.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«П»</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«Т»</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образные, точечные), исторический период застройки. Схемы компоновки зданий подразделя</w:t>
      </w:r>
      <w:r w:rsidR="00FE2D01" w:rsidRPr="007020C2">
        <w:rPr>
          <w:rFonts w:ascii="Times New Roman" w:eastAsia="Times New Roman" w:hAnsi="Times New Roman" w:cs="Times New Roman"/>
          <w:sz w:val="24"/>
          <w:szCs w:val="24"/>
          <w:lang w:eastAsia="ru-RU"/>
        </w:rPr>
        <w:t>ю</w:t>
      </w:r>
      <w:r w:rsidRPr="007020C2">
        <w:rPr>
          <w:rFonts w:ascii="Times New Roman" w:eastAsia="Times New Roman" w:hAnsi="Times New Roman" w:cs="Times New Roman"/>
          <w:sz w:val="24"/>
          <w:szCs w:val="24"/>
          <w:lang w:eastAsia="ru-RU"/>
        </w:rPr>
        <w:t>тся на свободную, регулярную и комбинированную.</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2.1.9.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параллельно друг другу,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w:t>
      </w:r>
      <w:r w:rsidRPr="007020C2">
        <w:rPr>
          <w:rFonts w:ascii="Times New Roman" w:eastAsia="Times New Roman" w:hAnsi="Times New Roman" w:cs="Times New Roman"/>
          <w:sz w:val="24"/>
          <w:szCs w:val="24"/>
          <w:lang w:eastAsia="ru-RU"/>
        </w:rPr>
        <w:lastRenderedPageBreak/>
        <w:t>протяженными, «Г»</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«П»</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«Т»</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образными зданиями с возможными разрывами и сдвигами между ними.</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2.1.10.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2.1.11.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Х = m × h × Кп / (Кз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/100%)</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где:   m – количество линий застройки;</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h – средняя ширина зданий в квартале (h &lt; Х/2);</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Кп – коэффициент непрерывности строчной застройки;</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максимальный коэффициент застройки квартала.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2.1.12. При периметральной застройке прямоугольного квартала, минимальные размеры квартала с шириной Х, длиной  Y = r × X  (r&gt;=1)  и площадью  S = X × Y  определяется  по формуле:</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Х = (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b + (b</w:t>
      </w:r>
      <w:r w:rsidRPr="007020C2">
        <w:rPr>
          <w:rFonts w:ascii="Times New Roman" w:eastAsia="Times New Roman" w:hAnsi="Times New Roman" w:cs="Times New Roman"/>
          <w:sz w:val="24"/>
          <w:szCs w:val="24"/>
          <w:vertAlign w:val="superscript"/>
          <w:lang w:eastAsia="ru-RU"/>
        </w:rPr>
        <w:t> 2 </w:t>
      </w:r>
      <w:r w:rsidRPr="007020C2">
        <w:rPr>
          <w:rFonts w:ascii="Times New Roman" w:eastAsia="Times New Roman" w:hAnsi="Times New Roman" w:cs="Times New Roman"/>
          <w:sz w:val="24"/>
          <w:szCs w:val="24"/>
          <w:lang w:eastAsia="ru-RU"/>
        </w:rPr>
        <w:t>– 4 × а × c)</w:t>
      </w:r>
      <w:r w:rsidRPr="007020C2">
        <w:rPr>
          <w:rFonts w:ascii="Times New Roman" w:eastAsia="Times New Roman" w:hAnsi="Times New Roman" w:cs="Times New Roman"/>
          <w:sz w:val="24"/>
          <w:szCs w:val="24"/>
          <w:vertAlign w:val="superscript"/>
          <w:lang w:eastAsia="ru-RU"/>
        </w:rPr>
        <w:t>1/2</w:t>
      </w:r>
      <w:r w:rsidRPr="007020C2">
        <w:rPr>
          <w:rFonts w:ascii="Times New Roman" w:eastAsia="Times New Roman" w:hAnsi="Times New Roman" w:cs="Times New Roman"/>
          <w:sz w:val="24"/>
          <w:szCs w:val="24"/>
          <w:lang w:eastAsia="ru-RU"/>
        </w:rPr>
        <w:t>) / (2 × 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где:   а = (r × 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/100%) / (h × Кп);</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в =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 × (1 + r);</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c = 4 × h;</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максимальный коэффициент застройки квартала;</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h </w:t>
      </w:r>
      <w:r w:rsidRPr="007020C2">
        <w:rPr>
          <w:rFonts w:ascii="Times New Roman" w:eastAsia="Times New Roman" w:hAnsi="Times New Roman" w:cs="Times New Roman"/>
          <w:i/>
          <w:iCs/>
          <w:sz w:val="24"/>
          <w:szCs w:val="24"/>
          <w:bdr w:val="none" w:sz="0" w:space="0" w:color="auto" w:frame="1"/>
          <w:lang w:eastAsia="ru-RU"/>
        </w:rPr>
        <w:t>– </w:t>
      </w:r>
      <w:r w:rsidRPr="007020C2">
        <w:rPr>
          <w:rFonts w:ascii="Times New Roman" w:eastAsia="Times New Roman" w:hAnsi="Times New Roman" w:cs="Times New Roman"/>
          <w:sz w:val="24"/>
          <w:szCs w:val="24"/>
          <w:lang w:eastAsia="ru-RU"/>
        </w:rPr>
        <w:t>средняя ширина зданий в квартале (h&lt; Х/2);</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Кп</w:t>
      </w:r>
      <w:r w:rsidRPr="007020C2">
        <w:rPr>
          <w:rFonts w:ascii="Times New Roman" w:eastAsia="Times New Roman" w:hAnsi="Times New Roman" w:cs="Times New Roman"/>
          <w:i/>
          <w:iCs/>
          <w:sz w:val="24"/>
          <w:szCs w:val="24"/>
          <w:bdr w:val="none" w:sz="0" w:space="0" w:color="auto" w:frame="1"/>
          <w:lang w:eastAsia="ru-RU"/>
        </w:rPr>
        <w:t> – </w:t>
      </w:r>
      <w:r w:rsidRPr="007020C2">
        <w:rPr>
          <w:rFonts w:ascii="Times New Roman" w:eastAsia="Times New Roman" w:hAnsi="Times New Roman" w:cs="Times New Roman"/>
          <w:sz w:val="24"/>
          <w:szCs w:val="24"/>
          <w:lang w:eastAsia="ru-RU"/>
        </w:rPr>
        <w:t>коэффициент непрерывности периметральной застройки.</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2.1.13. В случае дополнения периметральной компоновки зданий зданиями внутри периметра квартала формула расчета размера квартала, приведенная в п. 2.1.12, не изменяется, а дополнительные здания учитываются коэффициентом непрерывности застройки Кп, который может стать больше 1.</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2.1.14.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 Расчетные показатели в области озеленения территорий и мест массового отдыха населения.</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2.2.1. Для расчета потребности населения в озелененных территориях используется показатель – минимальный уровень обеспеченности населения озеленённой территорией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массового спорта, административно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управленческих и иных объектах. Указанный показатель, дифференцированный по элементам планировочной структуры, приведен в таблице 3.</w:t>
      </w:r>
    </w:p>
    <w:p w:rsidR="00F639AF" w:rsidRPr="007020C2" w:rsidRDefault="00F639AF" w:rsidP="00460401">
      <w:pPr>
        <w:spacing w:after="0" w:line="240" w:lineRule="auto"/>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3</w:t>
      </w:r>
    </w:p>
    <w:tbl>
      <w:tblPr>
        <w:tblW w:w="10073" w:type="dxa"/>
        <w:tblCellMar>
          <w:left w:w="0" w:type="dxa"/>
          <w:right w:w="0" w:type="dxa"/>
        </w:tblCellMar>
        <w:tblLook w:val="04A0"/>
      </w:tblPr>
      <w:tblGrid>
        <w:gridCol w:w="3836"/>
        <w:gridCol w:w="2126"/>
        <w:gridCol w:w="1985"/>
        <w:gridCol w:w="2126"/>
      </w:tblGrid>
      <w:tr w:rsidR="00460401" w:rsidRPr="007020C2" w:rsidTr="002B3923">
        <w:tc>
          <w:tcPr>
            <w:tcW w:w="383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Населенный пункт</w:t>
            </w:r>
          </w:p>
        </w:tc>
        <w:tc>
          <w:tcPr>
            <w:tcW w:w="6237"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озеленённой территорией,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460401" w:rsidRPr="007020C2" w:rsidTr="002B3923">
        <w:tc>
          <w:tcPr>
            <w:tcW w:w="383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в границах жилого </w:t>
            </w:r>
            <w:r w:rsidRPr="007020C2">
              <w:rPr>
                <w:rFonts w:ascii="Times New Roman" w:eastAsia="Times New Roman" w:hAnsi="Times New Roman" w:cs="Times New Roman"/>
                <w:lang w:eastAsia="ru-RU"/>
              </w:rPr>
              <w:lastRenderedPageBreak/>
              <w:t>квартала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 xml:space="preserve">в границах </w:t>
            </w:r>
            <w:r w:rsidRPr="007020C2">
              <w:rPr>
                <w:rFonts w:ascii="Times New Roman" w:eastAsia="Times New Roman" w:hAnsi="Times New Roman" w:cs="Times New Roman"/>
                <w:lang w:eastAsia="ru-RU"/>
              </w:rPr>
              <w:lastRenderedPageBreak/>
              <w:t>жилого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 xml:space="preserve">в границах </w:t>
            </w:r>
            <w:r w:rsidRPr="007020C2">
              <w:rPr>
                <w:rFonts w:ascii="Times New Roman" w:eastAsia="Times New Roman" w:hAnsi="Times New Roman" w:cs="Times New Roman"/>
                <w:lang w:eastAsia="ru-RU"/>
              </w:rPr>
              <w:lastRenderedPageBreak/>
              <w:t>населенного пункта</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Город Ногинск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12,6 (4,4)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23,1 (14,2)</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14,8 (5,2)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25,0 (14,6)</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15,9 (5,5)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 (15,5)</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15,9 (5,5)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 (15,1)</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25,4 (15,2)</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22,8 (7,3)</w:t>
            </w:r>
          </w:p>
        </w:tc>
      </w:tr>
    </w:tbl>
    <w:p w:rsidR="00F639AF" w:rsidRPr="007020C2" w:rsidRDefault="00F639AF" w:rsidP="002B3923">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в скобках приведены значения для парков и озеленённых территорий общего пользования.</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2.2.2. Площадь парков в населенных пунктах принимается из расчета не менее 3,0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/чел. В населенных пунктах с численностью населения до 3 тыс. чел. площадь парка (сквера) принимается не менее 0,9 га, с численностью населения до 1 тыс. чел.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менее 0,5 га.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2.2.3. Пешеходная доступность до ближайшего бульвара, сквера или парка в городах и рабочих посёлках принимается:</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жителей многоквартирных жилых домов не более 1,0 км;</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жителей блокированных и индивидуальных жилых домов не более 1,5 км.</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30 минут.</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городских пляжей 2000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городских парков 100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зон массового отдыха 70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лесопарков 20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городских лесов 3 чел/га.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4.</w:t>
      </w:r>
    </w:p>
    <w:p w:rsidR="00F639AF" w:rsidRPr="007020C2" w:rsidRDefault="00F639AF" w:rsidP="00E22D88">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4</w:t>
      </w:r>
    </w:p>
    <w:tbl>
      <w:tblPr>
        <w:tblW w:w="9931" w:type="dxa"/>
        <w:tblInd w:w="150" w:type="dxa"/>
        <w:tblCellMar>
          <w:left w:w="0" w:type="dxa"/>
          <w:right w:w="0" w:type="dxa"/>
        </w:tblCellMar>
        <w:tblLook w:val="04A0"/>
      </w:tblPr>
      <w:tblGrid>
        <w:gridCol w:w="3552"/>
        <w:gridCol w:w="2268"/>
        <w:gridCol w:w="1985"/>
        <w:gridCol w:w="2126"/>
      </w:tblGrid>
      <w:tr w:rsidR="002B3923" w:rsidRPr="007020C2" w:rsidTr="002B3923">
        <w:tc>
          <w:tcPr>
            <w:tcW w:w="3552"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Объекты рекреационного </w:t>
            </w:r>
            <w:r w:rsidRPr="007020C2">
              <w:rPr>
                <w:rFonts w:ascii="Times New Roman" w:eastAsia="Times New Roman" w:hAnsi="Times New Roman" w:cs="Times New Roman"/>
                <w:lang w:eastAsia="ru-RU"/>
              </w:rPr>
              <w:lastRenderedPageBreak/>
              <w:t>назначения</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Доля от общей площади территории объекта, %</w:t>
            </w:r>
          </w:p>
        </w:tc>
      </w:tr>
      <w:tr w:rsidR="002B3923" w:rsidRPr="007020C2" w:rsidTr="002B3923">
        <w:tc>
          <w:tcPr>
            <w:tcW w:w="3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B3923">
            <w:pPr>
              <w:spacing w:after="0" w:line="240" w:lineRule="auto"/>
              <w:jc w:val="center"/>
              <w:rPr>
                <w:rFonts w:ascii="Times New Roman" w:eastAsia="Times New Roman" w:hAnsi="Times New Roman" w:cs="Times New Roman"/>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Территории зеленых насаждений и водоемов</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Аллеи, дорожки, площадки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Застроенные территории</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Городские 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Скверы, размещаемые:</w:t>
            </w:r>
            <w:r w:rsidRPr="007020C2">
              <w:rPr>
                <w:rFonts w:ascii="Times New Roman" w:eastAsia="Times New Roman" w:hAnsi="Times New Roman" w:cs="Times New Roman"/>
                <w:lang w:eastAsia="ru-RU"/>
              </w:rPr>
              <w:br/>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на улицах общегородского значения и площадях;</w:t>
            </w:r>
            <w:r w:rsidRPr="007020C2">
              <w:rPr>
                <w:rFonts w:ascii="Times New Roman" w:eastAsia="Times New Roman" w:hAnsi="Times New Roman" w:cs="Times New Roman"/>
                <w:lang w:eastAsia="ru-RU"/>
              </w:rPr>
              <w:br/>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24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75</w:t>
            </w: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24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40</w:t>
            </w: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Бульвары шириной:</w:t>
            </w:r>
            <w:r w:rsidRPr="007020C2">
              <w:rPr>
                <w:rFonts w:ascii="Times New Roman" w:eastAsia="Times New Roman" w:hAnsi="Times New Roman" w:cs="Times New Roman"/>
                <w:lang w:eastAsia="ru-RU"/>
              </w:rPr>
              <w:br/>
              <w:t>15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24 м;</w:t>
            </w:r>
            <w:r w:rsidRPr="007020C2">
              <w:rPr>
                <w:rFonts w:ascii="Times New Roman" w:eastAsia="Times New Roman" w:hAnsi="Times New Roman" w:cs="Times New Roman"/>
                <w:lang w:eastAsia="ru-RU"/>
              </w:rPr>
              <w:b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 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75</w:t>
            </w:r>
            <w:r w:rsidRPr="007020C2">
              <w:rPr>
                <w:rFonts w:ascii="Times New Roman" w:eastAsia="Times New Roman" w:hAnsi="Times New Roman" w:cs="Times New Roman"/>
                <w:lang w:eastAsia="ru-RU"/>
              </w:rPr>
              <w:br/>
              <w:t>75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r w:rsidRPr="007020C2">
              <w:rPr>
                <w:rFonts w:ascii="Times New Roman" w:eastAsia="Times New Roman" w:hAnsi="Times New Roman" w:cs="Times New Roman"/>
                <w:lang w:eastAsia="ru-RU"/>
              </w:rPr>
              <w:br/>
              <w:t>17</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2.3. Расчетные показатели для производственных территорий.</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2.3.1. 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максимальный коэффициент застройки земельного участка, приведенный в таблице 5.</w:t>
      </w:r>
    </w:p>
    <w:p w:rsidR="00F639AF" w:rsidRPr="007020C2" w:rsidRDefault="00F639AF" w:rsidP="00E22D88">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5</w:t>
      </w:r>
    </w:p>
    <w:tbl>
      <w:tblPr>
        <w:tblW w:w="4827" w:type="pct"/>
        <w:tblInd w:w="150" w:type="dxa"/>
        <w:tblCellMar>
          <w:left w:w="0" w:type="dxa"/>
          <w:right w:w="0" w:type="dxa"/>
        </w:tblCellMar>
        <w:tblLook w:val="04A0"/>
      </w:tblPr>
      <w:tblGrid>
        <w:gridCol w:w="7022"/>
        <w:gridCol w:w="2710"/>
      </w:tblGrid>
      <w:tr w:rsidR="002B3923" w:rsidRPr="007020C2" w:rsidTr="002B3923">
        <w:trPr>
          <w:tblHeader/>
        </w:trPr>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земельного участка, %</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Складские объекты</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Объекты транспорта</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Объекты оптовой торговли</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Производственные объекты:</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текстильное и швейное производство, производство кожи, изделий из кожи, обуви</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обработка древесины и производство изделий из дерева, производство мебели, целлюлозы, бумаги, картона и изделий из них</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издательская и полиграфическая деятельность, производство машин и оборудования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металлургическое производство и производство готовых металлических изделий</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производство оптического и электрооборудования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производство транспортных средств и оборудования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иные виды производства</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02283" w:rsidRPr="007020C2" w:rsidRDefault="00E02283" w:rsidP="00E22D88">
      <w:pPr>
        <w:spacing w:after="0"/>
        <w:ind w:firstLine="567"/>
        <w:jc w:val="both"/>
        <w:textAlignment w:val="baseline"/>
        <w:rPr>
          <w:rFonts w:ascii="Times New Roman" w:eastAsia="Times New Roman" w:hAnsi="Times New Roman" w:cs="Times New Roman"/>
          <w:lang w:eastAsia="ru-RU"/>
        </w:rPr>
      </w:pP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 Расчетные показатели объектов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 Виды и примерный состав объектов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в границах жилого квартала</w:t>
      </w:r>
      <w:r w:rsidR="007E35EB" w:rsidRPr="007020C2">
        <w:rPr>
          <w:rFonts w:ascii="Times New Roman" w:eastAsia="Times New Roman" w:hAnsi="Times New Roman" w:cs="Times New Roman"/>
          <w:sz w:val="24"/>
          <w:szCs w:val="24"/>
          <w:lang w:eastAsia="ru-RU"/>
        </w:rPr>
        <w:t>, жилого района</w:t>
      </w:r>
      <w:r w:rsidRPr="007020C2">
        <w:rPr>
          <w:rFonts w:ascii="Times New Roman" w:eastAsia="Times New Roman" w:hAnsi="Times New Roman" w:cs="Times New Roman"/>
          <w:sz w:val="24"/>
          <w:szCs w:val="24"/>
          <w:lang w:eastAsia="ru-RU"/>
        </w:rPr>
        <w:t xml:space="preserve"> и </w:t>
      </w:r>
      <w:r w:rsidR="007E35EB" w:rsidRPr="007020C2">
        <w:rPr>
          <w:rFonts w:ascii="Times New Roman" w:eastAsia="Times New Roman" w:hAnsi="Times New Roman" w:cs="Times New Roman"/>
          <w:sz w:val="24"/>
          <w:szCs w:val="24"/>
          <w:lang w:eastAsia="ru-RU"/>
        </w:rPr>
        <w:t>городского населенного пункта</w:t>
      </w:r>
      <w:r w:rsidRPr="007020C2">
        <w:rPr>
          <w:rFonts w:ascii="Times New Roman" w:eastAsia="Times New Roman" w:hAnsi="Times New Roman" w:cs="Times New Roman"/>
          <w:sz w:val="24"/>
          <w:szCs w:val="24"/>
          <w:lang w:eastAsia="ru-RU"/>
        </w:rPr>
        <w:t xml:space="preserve"> приведен</w:t>
      </w:r>
      <w:r w:rsidR="007E35EB" w:rsidRPr="007020C2">
        <w:rPr>
          <w:rFonts w:ascii="Times New Roman" w:eastAsia="Times New Roman" w:hAnsi="Times New Roman" w:cs="Times New Roman"/>
          <w:sz w:val="24"/>
          <w:szCs w:val="24"/>
          <w:lang w:eastAsia="ru-RU"/>
        </w:rPr>
        <w:t>ы</w:t>
      </w:r>
      <w:r w:rsidRPr="007020C2">
        <w:rPr>
          <w:rFonts w:ascii="Times New Roman" w:eastAsia="Times New Roman" w:hAnsi="Times New Roman" w:cs="Times New Roman"/>
          <w:sz w:val="24"/>
          <w:szCs w:val="24"/>
          <w:lang w:eastAsia="ru-RU"/>
        </w:rPr>
        <w:t xml:space="preserve"> в таблице 6.</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2.4.2. При расчете минимально необходимых размеров территории для размещения объектов местного значения в границах жилого квартала, жилого района и населенного пункта применяется показатель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минимальный уровень обеспеченности населения площадью территории для размещения объектов в расчете на человека. При расчете этого показателя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2.4.3. Минимальный уровень обеспеченности населения площадью территории для размещения объектов в городе Ногинске приведен в таблице 7, в городах Старая Купавна  и Электроугли приведен в таблице 8, в рабочих посёлках им. Воровского и Обухово приведен в таблице 9, в сельских населенных пунктах приведен в таблицах 10 и 11.</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2.4.4. В таблицах 7, 8 и 9 минимальный уровень обеспеченности населения площадью территории для размещения объектов в границах квартала приведен в графе «в границах жилого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w:t>
      </w:r>
      <w:r w:rsidR="00E878D5" w:rsidRPr="007020C2">
        <w:rPr>
          <w:rFonts w:ascii="Times New Roman" w:eastAsia="Times New Roman" w:hAnsi="Times New Roman" w:cs="Times New Roman"/>
          <w:sz w:val="24"/>
          <w:szCs w:val="24"/>
          <w:lang w:eastAsia="ru-RU"/>
        </w:rPr>
        <w:t xml:space="preserve">в границах населенного пункта </w:t>
      </w:r>
      <w:r w:rsidRPr="007020C2">
        <w:rPr>
          <w:rFonts w:ascii="Times New Roman" w:eastAsia="Times New Roman" w:hAnsi="Times New Roman" w:cs="Times New Roman"/>
          <w:sz w:val="24"/>
          <w:szCs w:val="24"/>
          <w:lang w:eastAsia="ru-RU"/>
        </w:rPr>
        <w:t xml:space="preserve">определяется как сумма площади в жилом районе и дополнительной площади в </w:t>
      </w:r>
      <w:r w:rsidR="00E878D5" w:rsidRPr="007020C2">
        <w:rPr>
          <w:rFonts w:ascii="Times New Roman" w:eastAsia="Times New Roman" w:hAnsi="Times New Roman" w:cs="Times New Roman"/>
          <w:sz w:val="24"/>
          <w:szCs w:val="24"/>
          <w:lang w:eastAsia="ru-RU"/>
        </w:rPr>
        <w:t>населенного пункта</w:t>
      </w:r>
      <w:r w:rsidRPr="007020C2">
        <w:rPr>
          <w:rFonts w:ascii="Times New Roman" w:eastAsia="Times New Roman" w:hAnsi="Times New Roman" w:cs="Times New Roman"/>
          <w:sz w:val="24"/>
          <w:szCs w:val="24"/>
          <w:lang w:eastAsia="ru-RU"/>
        </w:rPr>
        <w:t>, приведенной в графе «дополнительно в границах населенного пункта».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таблице 10 минимальный уровень обеспеченности населения площадью территории для размещения объектов в границах квартала приведен в графе «в границах жилого квартала»; в границах сельского населенного пункта определяется как сумма площади в квартале и дополнительной площади в населенном пункте, приведенной в графе «дополнительно в границах населенного пункта».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В таблице 11 минимальный уровень обеспеченности населения площадью территории для размещения объектов в границах сельского населенного пункта приведен в графе «в границах населенного пункта»;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6</w:t>
      </w:r>
    </w:p>
    <w:tbl>
      <w:tblPr>
        <w:tblW w:w="4854" w:type="pct"/>
        <w:tblInd w:w="150" w:type="dxa"/>
        <w:tblLayout w:type="fixed"/>
        <w:tblCellMar>
          <w:left w:w="0" w:type="dxa"/>
          <w:right w:w="0" w:type="dxa"/>
        </w:tblCellMar>
        <w:tblLook w:val="04A0"/>
      </w:tblPr>
      <w:tblGrid>
        <w:gridCol w:w="1960"/>
        <w:gridCol w:w="2260"/>
        <w:gridCol w:w="2213"/>
        <w:gridCol w:w="3354"/>
      </w:tblGrid>
      <w:tr w:rsidR="00C70126" w:rsidRPr="007020C2" w:rsidTr="00C70126">
        <w:trPr>
          <w:tblHeader/>
        </w:trPr>
        <w:tc>
          <w:tcPr>
            <w:tcW w:w="198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793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Примерный состав объектов в границах</w:t>
            </w:r>
          </w:p>
        </w:tc>
      </w:tr>
      <w:tr w:rsidR="00C70126" w:rsidRPr="007020C2" w:rsidTr="00C70126">
        <w:trPr>
          <w:trHeight w:val="543"/>
          <w:tblHeader/>
        </w:trPr>
        <w:tc>
          <w:tcPr>
            <w:tcW w:w="198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70126" w:rsidRPr="007020C2" w:rsidRDefault="00C70126" w:rsidP="00F639AF">
            <w:pPr>
              <w:spacing w:after="0" w:line="240" w:lineRule="auto"/>
              <w:rPr>
                <w:rFonts w:ascii="Times New Roman" w:eastAsia="Times New Roman" w:hAnsi="Times New Roman" w:cs="Times New Roman"/>
                <w:lang w:eastAsia="ru-RU"/>
              </w:rPr>
            </w:pP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жилого квартала</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жилого район</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hAnsi="Times New Roman" w:cs="Times New Roman"/>
                <w:sz w:val="24"/>
                <w:szCs w:val="24"/>
              </w:rPr>
              <w:t>городского населенного пункта</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спортивные площадки</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Физкультурно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оздоровительные комплексы, плоскостные сооружения</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Стадионы, дворцы спорта, спортивные залы, плавательные бассейны, в том числе необходимые для проведения официальных физкультурно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оздоровительных и спортивных мероприятий, учебно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тренировочного процесса спортивных сборных команд (резерва таких команд) городского округа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Магазины продовольственных и промышленных товаров, пункты общественного питания</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центры, рестораны, кафе, бары, столовые, кулинарии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комплексы, универсальные и специализированные рынки, ярмарки, рестораны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Приемные пункты химчисток и прачечных, салоны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парикмахерские</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Ателье, ремонтные мастерские, общественные туалеты</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Гостиницы, дома быта, бани, предприятия ритуальных услуг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 услуг</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Отделения почтовой связи, отделения банков</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Аптечные учреждения, молочные кухни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Больничные учреждения, амбулаторно</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поликлинические учреждения, фельдшерско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акушерские пункты, учреждения скорой медицинской помощи, учреждения охраны материнства и детства в т.ч. родильный дом, женская консультация, санаторно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lastRenderedPageBreak/>
              <w:t>курортные учреждения, учреждения здравоохранения по надзору в сфере защиты прав потребителей и благополучия человека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Объекты образования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Муниципальные дошкольные образовательные организации, муниципальные общеобразовательные организации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Образовательные специализированные организации (школы</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интернаты, межшкольные учебные комбинаты, вечерние школы), организации среднего профессионального образования, организации высшего образования, образовательные специализированные организации (автошколы, оборонные учебные заведения), организации дополнительного образования детей (детско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юношеские спортивные школы, центры детского творчества, музыкальные школы, станции юных техников)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Центры социального обслуживания населения, территориальные центры социальной помощи семье и детям, социально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педагогической помощи населению,  центры социальной помощи на дому, стационарные учреждения социального обслуживания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Дворцы культуры, музеи, музеи</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усадьбы, выставочные залы, кинотеатры, библиотеки, досуговые центры, клубы и учреждения клубного типа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w:t>
            </w:r>
            <w:r w:rsidRPr="007020C2">
              <w:rPr>
                <w:rFonts w:ascii="Times New Roman" w:eastAsia="Times New Roman" w:hAnsi="Times New Roman" w:cs="Times New Roman"/>
                <w:lang w:eastAsia="ru-RU"/>
              </w:rPr>
              <w:lastRenderedPageBreak/>
              <w:t>е и управленческие объекты</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Объекты администрации </w:t>
            </w:r>
            <w:r w:rsidRPr="007020C2">
              <w:rPr>
                <w:rFonts w:ascii="Times New Roman" w:eastAsia="Times New Roman" w:hAnsi="Times New Roman" w:cs="Times New Roman"/>
                <w:lang w:eastAsia="ru-RU"/>
              </w:rPr>
              <w:lastRenderedPageBreak/>
              <w:t>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 </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lastRenderedPageBreak/>
        <w:t>  </w:t>
      </w: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7</w:t>
      </w:r>
    </w:p>
    <w:tbl>
      <w:tblPr>
        <w:tblW w:w="4855" w:type="pct"/>
        <w:tblInd w:w="150" w:type="dxa"/>
        <w:tblCellMar>
          <w:left w:w="0" w:type="dxa"/>
          <w:right w:w="0" w:type="dxa"/>
        </w:tblCellMar>
        <w:tblLook w:val="04A0"/>
      </w:tblPr>
      <w:tblGrid>
        <w:gridCol w:w="2798"/>
        <w:gridCol w:w="861"/>
        <w:gridCol w:w="851"/>
        <w:gridCol w:w="868"/>
        <w:gridCol w:w="833"/>
        <w:gridCol w:w="886"/>
        <w:gridCol w:w="906"/>
        <w:gridCol w:w="1786"/>
      </w:tblGrid>
      <w:tr w:rsidR="00BB0C24" w:rsidRPr="007020C2" w:rsidTr="00BB0C24">
        <w:tc>
          <w:tcPr>
            <w:tcW w:w="284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7080" w:type="dxa"/>
            <w:gridSpan w:val="7"/>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B0C24">
        <w:tc>
          <w:tcPr>
            <w:tcW w:w="28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618"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 со средней этажностью жилых домов</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жилого района со средней этажностью жилых домов</w:t>
            </w:r>
          </w:p>
        </w:tc>
        <w:tc>
          <w:tcPr>
            <w:tcW w:w="179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ind w:left="-79"/>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B0C24">
        <w:tc>
          <w:tcPr>
            <w:tcW w:w="28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 эт.</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 эт.</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179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0,92</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0,87</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0,85</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1,54</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0,56</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0,26</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0,16</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1,27</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1,21</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0,07</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0,76</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0,73</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0,54</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6,46</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5,43</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4,92</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Объекты культуры и досуга</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6260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минимальный уровень обеспеченности населения площадью территории для значений средней этажности жилых домов 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рассчитываются методом линейной экстраполяции.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8</w:t>
      </w:r>
    </w:p>
    <w:tbl>
      <w:tblPr>
        <w:tblW w:w="4854" w:type="pct"/>
        <w:tblInd w:w="150" w:type="dxa"/>
        <w:tblCellMar>
          <w:left w:w="0" w:type="dxa"/>
          <w:right w:w="0" w:type="dxa"/>
        </w:tblCellMar>
        <w:tblLook w:val="04A0"/>
      </w:tblPr>
      <w:tblGrid>
        <w:gridCol w:w="2765"/>
        <w:gridCol w:w="856"/>
        <w:gridCol w:w="848"/>
        <w:gridCol w:w="861"/>
        <w:gridCol w:w="835"/>
        <w:gridCol w:w="874"/>
        <w:gridCol w:w="889"/>
        <w:gridCol w:w="1859"/>
      </w:tblGrid>
      <w:tr w:rsidR="00BB0C24" w:rsidRPr="007020C2" w:rsidTr="00BB0C24">
        <w:tc>
          <w:tcPr>
            <w:tcW w:w="28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7114" w:type="dxa"/>
            <w:gridSpan w:val="7"/>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B0C24">
        <w:tc>
          <w:tcPr>
            <w:tcW w:w="28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BB0C24">
            <w:pPr>
              <w:spacing w:after="0" w:line="240" w:lineRule="auto"/>
              <w:jc w:val="center"/>
              <w:rPr>
                <w:rFonts w:ascii="Times New Roman" w:eastAsia="Times New Roman" w:hAnsi="Times New Roman" w:cs="Times New Roman"/>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 со средней этажностью жилых домов</w:t>
            </w:r>
          </w:p>
        </w:tc>
        <w:tc>
          <w:tcPr>
            <w:tcW w:w="263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жилого района со средней этажностью жилых домов</w:t>
            </w:r>
          </w:p>
        </w:tc>
        <w:tc>
          <w:tcPr>
            <w:tcW w:w="18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ind w:left="-116"/>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B0C24">
        <w:tc>
          <w:tcPr>
            <w:tcW w:w="28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 эт.</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 эт.</w:t>
            </w:r>
          </w:p>
        </w:tc>
        <w:tc>
          <w:tcPr>
            <w:tcW w:w="18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1,06</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1,03</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1,02</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1,88</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1,83</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0,57</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0,38</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1,52</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1,48</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0,16</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0,13</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0,96</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0,91</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0,89</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0,54</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Объекты образования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7,14</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6,54</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6,22</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6260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9</w:t>
      </w:r>
    </w:p>
    <w:tbl>
      <w:tblPr>
        <w:tblW w:w="4854" w:type="pct"/>
        <w:tblInd w:w="150" w:type="dxa"/>
        <w:tblCellMar>
          <w:left w:w="0" w:type="dxa"/>
          <w:right w:w="0" w:type="dxa"/>
        </w:tblCellMar>
        <w:tblLook w:val="04A0"/>
      </w:tblPr>
      <w:tblGrid>
        <w:gridCol w:w="2802"/>
        <w:gridCol w:w="1448"/>
        <w:gridCol w:w="1069"/>
        <w:gridCol w:w="1285"/>
        <w:gridCol w:w="1210"/>
        <w:gridCol w:w="1973"/>
      </w:tblGrid>
      <w:tr w:rsidR="00BB0C24" w:rsidRPr="007020C2" w:rsidTr="00BB0C24">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7088"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B0C24">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BB0C24">
            <w:pPr>
              <w:spacing w:after="0" w:line="240" w:lineRule="auto"/>
              <w:jc w:val="center"/>
              <w:rPr>
                <w:rFonts w:ascii="Times New Roman" w:eastAsia="Times New Roman" w:hAnsi="Times New Roman" w:cs="Times New Roman"/>
                <w:lang w:eastAsia="ru-RU"/>
              </w:rPr>
            </w:pPr>
          </w:p>
        </w:tc>
        <w:tc>
          <w:tcPr>
            <w:tcW w:w="25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 со средней этажностью жилых домов</w:t>
            </w:r>
          </w:p>
        </w:tc>
        <w:tc>
          <w:tcPr>
            <w:tcW w:w="253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жилого района со средней этажностью жилых домов</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B0C24">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198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1,12</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1,99</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0,57</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0,38</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1,68</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0,16</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1,01</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0,54</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7,44</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6,85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Объекты социального </w:t>
            </w:r>
            <w:r w:rsidRPr="007020C2">
              <w:rPr>
                <w:rFonts w:ascii="Times New Roman" w:eastAsia="Times New Roman" w:hAnsi="Times New Roman" w:cs="Times New Roman"/>
                <w:lang w:eastAsia="ru-RU"/>
              </w:rPr>
              <w:lastRenderedPageBreak/>
              <w:t>обслуживания*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Объекты культуры и досуга</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6260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10</w:t>
      </w:r>
    </w:p>
    <w:tbl>
      <w:tblPr>
        <w:tblW w:w="4854" w:type="pct"/>
        <w:tblInd w:w="150" w:type="dxa"/>
        <w:tblCellMar>
          <w:left w:w="0" w:type="dxa"/>
          <w:right w:w="0" w:type="dxa"/>
        </w:tblCellMar>
        <w:tblLook w:val="04A0"/>
      </w:tblPr>
      <w:tblGrid>
        <w:gridCol w:w="4195"/>
        <w:gridCol w:w="2926"/>
        <w:gridCol w:w="2666"/>
      </w:tblGrid>
      <w:tr w:rsidR="00BB0C24" w:rsidRPr="007020C2" w:rsidTr="00B8681B">
        <w:tc>
          <w:tcPr>
            <w:tcW w:w="425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56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8681B">
        <w:tc>
          <w:tcPr>
            <w:tcW w:w="42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BB0C24">
            <w:pPr>
              <w:spacing w:after="0" w:line="240" w:lineRule="auto"/>
              <w:jc w:val="center"/>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w:t>
            </w:r>
            <w:r w:rsidR="00BB0C24" w:rsidRPr="007020C2">
              <w:rPr>
                <w:rFonts w:ascii="Times New Roman" w:eastAsia="Times New Roman" w:hAnsi="Times New Roman" w:cs="Times New Roman"/>
                <w:lang w:eastAsia="ru-RU"/>
              </w:rPr>
              <w:t>р</w:t>
            </w:r>
            <w:r w:rsidRPr="007020C2">
              <w:rPr>
                <w:rFonts w:ascii="Times New Roman" w:eastAsia="Times New Roman" w:hAnsi="Times New Roman" w:cs="Times New Roman"/>
                <w:lang w:eastAsia="ru-RU"/>
              </w:rPr>
              <w:t>тала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8681B">
        <w:tc>
          <w:tcPr>
            <w:tcW w:w="9922"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2,23</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2,09</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0,39</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1,15</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0,89</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7,85</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142153" w:rsidRPr="007020C2" w:rsidRDefault="00142153" w:rsidP="00F639AF">
      <w:pPr>
        <w:spacing w:after="0" w:line="240" w:lineRule="auto"/>
        <w:textAlignment w:val="baseline"/>
        <w:rPr>
          <w:rFonts w:ascii="Times New Roman" w:eastAsia="Times New Roman" w:hAnsi="Times New Roman" w:cs="Times New Roman"/>
          <w:color w:val="666666"/>
          <w:sz w:val="24"/>
          <w:szCs w:val="24"/>
          <w:lang w:eastAsia="ru-RU"/>
        </w:rPr>
      </w:pP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Таблица11</w:t>
      </w:r>
    </w:p>
    <w:tbl>
      <w:tblPr>
        <w:tblW w:w="4885" w:type="pct"/>
        <w:tblInd w:w="150" w:type="dxa"/>
        <w:tblCellMar>
          <w:left w:w="0" w:type="dxa"/>
          <w:right w:w="0" w:type="dxa"/>
        </w:tblCellMar>
        <w:tblLook w:val="04A0"/>
      </w:tblPr>
      <w:tblGrid>
        <w:gridCol w:w="4191"/>
        <w:gridCol w:w="61"/>
        <w:gridCol w:w="2924"/>
        <w:gridCol w:w="2673"/>
      </w:tblGrid>
      <w:tr w:rsidR="00167DAB" w:rsidRPr="007020C2" w:rsidTr="00B8681B">
        <w:tc>
          <w:tcPr>
            <w:tcW w:w="431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Вид объектов</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167DAB" w:rsidRPr="007020C2" w:rsidTr="00B8681B">
        <w:tc>
          <w:tcPr>
            <w:tcW w:w="431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jc w:val="center"/>
              <w:rPr>
                <w:rFonts w:ascii="Times New Roman" w:eastAsia="Times New Roman" w:hAnsi="Times New Roman" w:cs="Times New Roman"/>
                <w:lang w:eastAsia="ru-RU"/>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населенного пункта</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городского округа</w:t>
            </w:r>
          </w:p>
        </w:tc>
      </w:tr>
      <w:tr w:rsidR="00167DAB" w:rsidRPr="007020C2" w:rsidTr="00B8681B">
        <w:tc>
          <w:tcPr>
            <w:tcW w:w="9986"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D723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0,56</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0,36</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0,18</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7,90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0,08</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 *</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w:t>
            </w:r>
          </w:p>
        </w:tc>
      </w:tr>
      <w:tr w:rsidR="00167DAB" w:rsidRPr="007020C2" w:rsidTr="00B8681B">
        <w:tc>
          <w:tcPr>
            <w:tcW w:w="9986"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1,43</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бытового назначения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0,37</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1,10</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0,37</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0,17</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8,38</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Объекты культуры и досуга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 *</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color w:val="666666"/>
          <w:sz w:val="24"/>
          <w:szCs w:val="24"/>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28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суммарной поэтажной площади наземных частей многоквартирных жилых домов, принятой при расчете максимальной плотности населения в нормативах градостроительного проектирования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2.4.6. Проектная численность населения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Проектная численность населения в жилом квартале (жилом рай</w:t>
      </w:r>
      <w:r w:rsidR="00FF6F04" w:rsidRPr="007020C2">
        <w:rPr>
          <w:rFonts w:ascii="Times New Roman" w:eastAsia="Times New Roman" w:hAnsi="Times New Roman" w:cs="Times New Roman"/>
          <w:sz w:val="24"/>
          <w:szCs w:val="24"/>
          <w:lang w:eastAsia="ru-RU"/>
        </w:rPr>
        <w:t>о</w:t>
      </w:r>
      <w:r w:rsidRPr="007020C2">
        <w:rPr>
          <w:rFonts w:ascii="Times New Roman" w:eastAsia="Times New Roman" w:hAnsi="Times New Roman" w:cs="Times New Roman"/>
          <w:sz w:val="24"/>
          <w:szCs w:val="24"/>
          <w:lang w:eastAsia="ru-RU"/>
        </w:rPr>
        <w:t>не) в целях определения потребности в различных объектах ра</w:t>
      </w:r>
      <w:r w:rsidR="00B62609" w:rsidRPr="007020C2">
        <w:rPr>
          <w:rFonts w:ascii="Times New Roman" w:eastAsia="Times New Roman" w:hAnsi="Times New Roman" w:cs="Times New Roman"/>
          <w:sz w:val="24"/>
          <w:szCs w:val="24"/>
          <w:lang w:eastAsia="ru-RU"/>
        </w:rPr>
        <w:t>с</w:t>
      </w:r>
      <w:r w:rsidRPr="007020C2">
        <w:rPr>
          <w:rFonts w:ascii="Times New Roman" w:eastAsia="Times New Roman" w:hAnsi="Times New Roman" w:cs="Times New Roman"/>
          <w:sz w:val="24"/>
          <w:szCs w:val="24"/>
          <w:lang w:eastAsia="ru-RU"/>
        </w:rPr>
        <w:t>считывается как сумма количества жителей в существующей (сохраняемой) застройке и количества прогнозируемых жителей в проектируемой жилой застройке.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2.4.7. Минимальная обеспеченность населения объектами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в виде емкостных характеристик предоставляемых в них услуг в расчете на 1 тыс. человек, принимается: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услугами общественного питания – 40 посадочных мест;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бытовыми услугами – 10,9 рабочих мест;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единовременной пропускной способностью объектов спорта – 28 единиц;</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4) площадью спортивных залов – 106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5) площадью зеркала воды плавательных бассейнах  – 9,96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6) площадью спортивных плоскостных сооружений – 948,3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7) площадью торговых объектов местного значения – 772,9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том числе по продаже продовольственных товаров – 264,7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непродовольственных товаров – 508,2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(при общем количестве объектов не менее 417); площадью торговых мест на розничных рынках – 1,33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Минимальная обеспеченность жителей местами в муниципальных дошкольных образовательных организациях принимается из расчета 85 % от количества детей в возрасте от 3 до 7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Минимальная обеспеченность жителей местами в муниципальных общеобразовательных организациях принимается из расчета 100 % от количества детей в возрасте от 6 до 15 лет (1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 классы) и 50% от количества детей в возрасте от 15 до 17 лет (10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в детских и юношеских спортивных школах – 20 %;</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в школах по различным видам искусств – 12 %.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2.4.8. Предельно допустимый уровень обеспеченности жителей объектами культуры и досуга и их территориальной доступности приведены в таблице 12.</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Таблица12</w:t>
      </w:r>
    </w:p>
    <w:tbl>
      <w:tblPr>
        <w:tblW w:w="9923" w:type="dxa"/>
        <w:tblInd w:w="150" w:type="dxa"/>
        <w:tblCellMar>
          <w:left w:w="0" w:type="dxa"/>
          <w:right w:w="0" w:type="dxa"/>
        </w:tblCellMar>
        <w:tblLook w:val="04A0"/>
      </w:tblPr>
      <w:tblGrid>
        <w:gridCol w:w="709"/>
        <w:gridCol w:w="3119"/>
        <w:gridCol w:w="2976"/>
        <w:gridCol w:w="3119"/>
      </w:tblGrid>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п/п</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Наименование объекта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Минимально допустимый уровень обеспеченности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Максимально допустимый уровень территориальной доступности</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Общедоступная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20 тыс. чел.</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30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Детская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10 тыс. детей</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30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Точка доступа к полнотекстовым информационным ресурсам</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объекта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Дом культуры</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объект на городской округ</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ind w:left="-150" w:right="-150"/>
              <w:jc w:val="center"/>
              <w:rPr>
                <w:rFonts w:ascii="Times New Roman" w:eastAsia="Times New Roman" w:hAnsi="Times New Roman" w:cs="Times New Roman"/>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 посадочных мест на 1000 чел.</w:t>
            </w: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167DAB" w:rsidRPr="007020C2" w:rsidTr="00167DAB">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Театр по видам искусств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ind w:left="-150" w:right="-150"/>
              <w:jc w:val="center"/>
              <w:rPr>
                <w:rFonts w:ascii="Times New Roman" w:eastAsia="Times New Roman" w:hAnsi="Times New Roman" w:cs="Times New Roman"/>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посадочных мест на 1000 чел.</w:t>
            </w: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Кинозал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20 тыс. чел.</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64DF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00064DF8" w:rsidRPr="007020C2">
              <w:rPr>
                <w:rFonts w:ascii="Times New Roman" w:eastAsia="Times New Roman" w:hAnsi="Times New Roman" w:cs="Times New Roman"/>
                <w:lang w:eastAsia="ru-RU"/>
              </w:rPr>
              <w:t>30мин</w:t>
            </w:r>
            <w:r w:rsidRPr="007020C2">
              <w:rPr>
                <w:rFonts w:ascii="Times New Roman" w:eastAsia="Times New Roman" w:hAnsi="Times New Roman" w:cs="Times New Roman"/>
                <w:lang w:eastAsia="ru-RU"/>
              </w:rPr>
              <w:t>.</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Краеведческий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Тематический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Концертный 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ind w:left="-150" w:right="-150"/>
              <w:jc w:val="center"/>
              <w:rPr>
                <w:rFonts w:ascii="Times New Roman" w:eastAsia="Times New Roman" w:hAnsi="Times New Roman" w:cs="Times New Roman"/>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посадочных мест на 1000 чел</w:t>
            </w: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Парк культуры и отдыха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30 тыс. чел.</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 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Многофункциональный досуговый центр для детей и молодежи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bl>
    <w:p w:rsidR="00167DAB" w:rsidRPr="007020C2" w:rsidRDefault="00167DAB" w:rsidP="00167DAB">
      <w:pPr>
        <w:tabs>
          <w:tab w:val="left" w:pos="252"/>
        </w:tabs>
        <w:spacing w:after="0" w:line="240" w:lineRule="auto"/>
        <w:ind w:firstLine="567"/>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Примечания:</w:t>
      </w:r>
    </w:p>
    <w:p w:rsidR="00167DAB" w:rsidRPr="007020C2" w:rsidRDefault="00167DAB" w:rsidP="00167DAB">
      <w:pPr>
        <w:tabs>
          <w:tab w:val="left" w:pos="252"/>
        </w:tabs>
        <w:spacing w:after="0" w:line="240" w:lineRule="auto"/>
        <w:ind w:firstLine="567"/>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1) максимально допустимый уровень транспортной доступности до объекта указан в границах городского округа, а пешеходной доступности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в границах населенного пункта, в котором размещен объект;</w:t>
      </w:r>
    </w:p>
    <w:p w:rsidR="00F639AF" w:rsidRPr="007020C2" w:rsidRDefault="00167DAB" w:rsidP="00167DAB">
      <w:pPr>
        <w:spacing w:after="0" w:line="240" w:lineRule="auto"/>
        <w:ind w:firstLine="567"/>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167DAB" w:rsidRPr="007020C2" w:rsidRDefault="00167DAB" w:rsidP="00167DAB">
      <w:pPr>
        <w:spacing w:after="0" w:line="240" w:lineRule="auto"/>
        <w:ind w:firstLine="567"/>
        <w:textAlignment w:val="baseline"/>
        <w:rPr>
          <w:rFonts w:ascii="Times New Roman" w:eastAsia="Times New Roman" w:hAnsi="Times New Roman" w:cs="Times New Roman"/>
          <w:color w:val="666666"/>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2.4.9. Минимально необходимые площади земельных участков в зависимости от емкостных характеристик размещаемых на них объектов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рекомендуется принимать в соответствии с приложением № 1 к местным нормативам.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2.4.10.  Максимальная пешеходная доступность от места жительства до объектов социальной инфраструктуры в городских населенных пунктах приведена в таблице 13.</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13</w:t>
      </w:r>
    </w:p>
    <w:tbl>
      <w:tblPr>
        <w:tblW w:w="9923" w:type="dxa"/>
        <w:tblInd w:w="150" w:type="dxa"/>
        <w:tblCellMar>
          <w:left w:w="0" w:type="dxa"/>
          <w:right w:w="0" w:type="dxa"/>
        </w:tblCellMar>
        <w:tblLook w:val="04A0"/>
      </w:tblPr>
      <w:tblGrid>
        <w:gridCol w:w="4820"/>
        <w:gridCol w:w="2552"/>
        <w:gridCol w:w="2551"/>
      </w:tblGrid>
      <w:tr w:rsidR="002506BD" w:rsidRPr="007020C2" w:rsidTr="00B8681B">
        <w:tc>
          <w:tcPr>
            <w:tcW w:w="482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пешеходная доступность от места жительства, км</w:t>
            </w:r>
          </w:p>
        </w:tc>
      </w:tr>
      <w:tr w:rsidR="002506BD" w:rsidRPr="007020C2" w:rsidTr="00B8681B">
        <w:tc>
          <w:tcPr>
            <w:tcW w:w="4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506BD">
            <w:pPr>
              <w:spacing w:after="0" w:line="240" w:lineRule="auto"/>
              <w:jc w:val="cente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зоны застройки многоквартирными жилыми домами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зоны застройки блокированными и индивидуальными жилыми домами</w:t>
            </w:r>
          </w:p>
        </w:tc>
      </w:tr>
      <w:tr w:rsidR="002506BD" w:rsidRPr="007020C2" w:rsidTr="00B8681B">
        <w:trPr>
          <w:trHeight w:val="5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 в том числе:</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B8681B">
        <w:trPr>
          <w:trHeight w:val="2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поликлиники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r w:rsidR="002506BD" w:rsidRPr="007020C2" w:rsidTr="00B8681B">
        <w:trPr>
          <w:trHeight w:val="325"/>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молочные кухни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аптеки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коммунального и бытового обслуживания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общественного питания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Магазины, торговые центры площадью до 1500 м</w:t>
            </w:r>
            <w:r w:rsidRPr="007020C2">
              <w:rPr>
                <w:rFonts w:ascii="Times New Roman" w:eastAsia="Times New Roman" w:hAnsi="Times New Roman" w:cs="Times New Roman"/>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Магазины, торговые центры площадью от 1500 до 5000 м</w:t>
            </w:r>
            <w:r w:rsidRPr="007020C2">
              <w:rPr>
                <w:rFonts w:ascii="Times New Roman" w:eastAsia="Times New Roman" w:hAnsi="Times New Roman" w:cs="Times New Roman"/>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сферы культуры</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Объекты, не связанные с решением вопросов местного значения городского округа. Расчетные показатели для них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lastRenderedPageBreak/>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2.4.11.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населенного пункта, принимается: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пешеходная не более 4 км (для начального общего образования  не более 2 км);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транспортная на специальном школьном автобусе или транспорте общего пользования не более 30 минут(для начального общего образования  не более 15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2.4.12. Для жителей сельского населенного пункта допустимая доступность дошкольной образовательной организации на индивидуальном транспорте или транспорте общего пользования не превышает 30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2.4.13. Для жителей сельского населенного пункта пешеходная доступность до магазинов, торговых центров площадью до 1500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 не более 300 метров, до магазинов, торговых центров площадью от 1500 до 5000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1000 метров. Допустимая транспортная доступность прочих объектов первой необходимости для жителей сельских населенных пунктов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более 30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2.4.14.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 СП 54.13330.2011 "СНиП 31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01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2003. Здания жилые многоквартирные", приказом Министерства связи СССР от 27.04.1981 №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 Расчетные показатели объектов транспортной инфраструктуры.</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 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2.5.2. Плотность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обеспечивающей транспортное обслуживание кварталов многоквартирной жилой и общественно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деловой застройки домами (отношение протяженности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образующей границы кварталов, к площади этих кварталов) в городах и рабочих посёлках  принимается не менее 7,5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Плотность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обеспечивающей транспортное обслуживание кварталов блокированной и индивидуальной жилой застройки, принимается не менее 13 км/к</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Плотность магистральной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в том числе используемой для движения транспорта общего пользования, должна быть не менее 2,2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2.5.3. 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2.5.4. Максимальная дальность пешеходных подходов в городе от объектов массового посещения до ближайшей остановки транспорта общего пользования приведены в таблице 14.</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14</w:t>
      </w:r>
    </w:p>
    <w:tbl>
      <w:tblPr>
        <w:tblW w:w="9923" w:type="dxa"/>
        <w:tblInd w:w="150" w:type="dxa"/>
        <w:tblCellMar>
          <w:left w:w="0" w:type="dxa"/>
          <w:right w:w="0" w:type="dxa"/>
        </w:tblCellMar>
        <w:tblLook w:val="04A0"/>
      </w:tblPr>
      <w:tblGrid>
        <w:gridCol w:w="4962"/>
        <w:gridCol w:w="4961"/>
      </w:tblGrid>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Объекты массового посещения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дальность пешеходных подходов, км</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Зоны массового отдыха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центры и комплексы</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Розничные и сельскохозяйственные рынки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Стадионы</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Станция пригородной железной дороги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Иные объекты массового посещения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2.5.5. 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0,6 км, в общественно</w:t>
      </w:r>
      <w:r w:rsidR="00A6689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деловой зоне с объектами массового посещения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0,4 км.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2.5.6. Параметры строящихся и реконструируемых объектов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населенных пунктов приведены в таблице 15.</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15</w:t>
      </w:r>
    </w:p>
    <w:tbl>
      <w:tblPr>
        <w:tblW w:w="4804" w:type="pct"/>
        <w:tblInd w:w="150" w:type="dxa"/>
        <w:tblCellMar>
          <w:left w:w="0" w:type="dxa"/>
          <w:right w:w="0" w:type="dxa"/>
        </w:tblCellMar>
        <w:tblLook w:val="04A0"/>
      </w:tblPr>
      <w:tblGrid>
        <w:gridCol w:w="3498"/>
        <w:gridCol w:w="2367"/>
        <w:gridCol w:w="1968"/>
        <w:gridCol w:w="1853"/>
      </w:tblGrid>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6689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улично</w:t>
            </w:r>
            <w:r w:rsidR="00A66892"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Ширина в красных линиях, не менее, м</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Ширина полосыдвижения, м</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Число полосдвижения</w:t>
            </w:r>
          </w:p>
        </w:tc>
      </w:tr>
      <w:tr w:rsidR="002506BD" w:rsidRPr="007020C2" w:rsidTr="002506BD">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Городские населенные пункты</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Магистральная улица:</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left="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общегородского значения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left="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районного значения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Улица местного значения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2506BD" w:rsidRPr="007020C2" w:rsidTr="002506BD">
        <w:trPr>
          <w:trHeight w:val="469"/>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Главная улица</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Жилая улица:</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основная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второстепенная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Проезд:</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основной</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хозяйственный</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2.5.7. Показатели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сельского населенного пункта принимается 10,4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границах города Ногинска –7,3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городах Старая Купавна  и Электроугли – 8,1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рабочих посёлках им. Воровского и Обухово – 9,0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в том числе в разрезе кварталов и жилых районов в зависимости от средней этажности многоквартирных жилых домов приведены в таблице 16.</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16</w:t>
      </w:r>
    </w:p>
    <w:tbl>
      <w:tblPr>
        <w:tblW w:w="9781" w:type="dxa"/>
        <w:tblInd w:w="150" w:type="dxa"/>
        <w:tblCellMar>
          <w:left w:w="0" w:type="dxa"/>
          <w:right w:w="0" w:type="dxa"/>
        </w:tblCellMar>
        <w:tblLook w:val="04A0"/>
      </w:tblPr>
      <w:tblGrid>
        <w:gridCol w:w="2750"/>
        <w:gridCol w:w="3629"/>
        <w:gridCol w:w="3402"/>
      </w:tblGrid>
      <w:tr w:rsidR="00676DEE" w:rsidRPr="007020C2" w:rsidTr="002506BD">
        <w:tc>
          <w:tcPr>
            <w:tcW w:w="275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Средняя этажность многоквартирных жилых домов</w:t>
            </w:r>
          </w:p>
        </w:tc>
        <w:tc>
          <w:tcPr>
            <w:tcW w:w="7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обеспеченность территорией для хранения индивидуального автомобильного транспорта,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676DEE" w:rsidRPr="007020C2" w:rsidTr="002506BD">
        <w:tc>
          <w:tcPr>
            <w:tcW w:w="27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506BD">
            <w:pPr>
              <w:spacing w:after="0" w:line="240" w:lineRule="auto"/>
              <w:jc w:val="center"/>
              <w:rPr>
                <w:rFonts w:ascii="Times New Roman" w:eastAsia="Times New Roman" w:hAnsi="Times New Roman" w:cs="Times New Roman"/>
                <w:lang w:eastAsia="ru-RU"/>
              </w:rPr>
            </w:pP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квартала</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района</w:t>
            </w:r>
          </w:p>
        </w:tc>
      </w:tr>
      <w:tr w:rsidR="00676DEE" w:rsidRPr="007020C2" w:rsidTr="002506B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8,5</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7,3</w:t>
            </w:r>
          </w:p>
        </w:tc>
      </w:tr>
      <w:tr w:rsidR="00D60616" w:rsidRPr="007020C2" w:rsidTr="00D60616">
        <w:trPr>
          <w:trHeight w:val="305"/>
        </w:trPr>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9</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6,3</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5,9</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w:t>
            </w:r>
          </w:p>
        </w:tc>
      </w:tr>
      <w:tr w:rsidR="00676DEE" w:rsidRPr="007020C2" w:rsidTr="002506B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9,1</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7,9</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9</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6,7</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6,3</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17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5,8</w:t>
            </w:r>
          </w:p>
        </w:tc>
      </w:tr>
      <w:tr w:rsidR="00676DEE" w:rsidRPr="007020C2" w:rsidTr="002506B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9,4</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8,2</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9</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6,9</w:t>
            </w:r>
          </w:p>
        </w:tc>
      </w:tr>
      <w:tr w:rsidR="006E4C17"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6E4C17" w:rsidRPr="007020C2" w:rsidRDefault="006E4C17" w:rsidP="002C173A">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lastRenderedPageBreak/>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6E4C17" w:rsidRPr="007020C2" w:rsidRDefault="006E4C17" w:rsidP="006E4C17">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6E4C17" w:rsidRPr="007020C2" w:rsidRDefault="006E4C17" w:rsidP="006E4C17">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6,5</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для промежуточных значений средней этажности жилых домов минимальная обеспеченности территорией для хранения индивидуального автомобильного транспорта рассчитывается методом линейной интерполяции.</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2.5.8. 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2.5.9. В случаях обоснованных технико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экономических ограничений, препятствующих исполнению рекомендаций п. 2.5.8, допускается принимать обеспеченность жителей многоквартирных домов местами для хранения индивидуального автомобильного транспорта в процентах от расчетного количества мест:</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не менее 40% в границах квартала;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не менее 90% в границах жилого района и на прилегающих производственных территориях при соблюдении пешеходной доступности от мест жительства до мест хранения индивидуального автомобильного транспорта не более 800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не менее 100% в границах города при соблюдении транспортной доступности не более чем 15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2.5.10.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2.5.11. Минимальный размер земельных участков многоэтажных гаражей легковых автомобилей в зависимости от их этажности принимается в расчете на одно машино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место в соответствии с таблицей 17.</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17</w:t>
      </w:r>
    </w:p>
    <w:tbl>
      <w:tblPr>
        <w:tblW w:w="9781" w:type="dxa"/>
        <w:tblInd w:w="150" w:type="dxa"/>
        <w:tblCellMar>
          <w:left w:w="0" w:type="dxa"/>
          <w:right w:w="0" w:type="dxa"/>
        </w:tblCellMar>
        <w:tblLook w:val="04A0"/>
      </w:tblPr>
      <w:tblGrid>
        <w:gridCol w:w="2694"/>
        <w:gridCol w:w="7087"/>
      </w:tblGrid>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гаража</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земельного участка на одно машино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место, м</w:t>
            </w:r>
            <w:r w:rsidRPr="007020C2">
              <w:rPr>
                <w:rFonts w:ascii="Times New Roman" w:eastAsia="Times New Roman" w:hAnsi="Times New Roman" w:cs="Times New Roman"/>
                <w:vertAlign w:val="superscript"/>
                <w:lang w:eastAsia="ru-RU"/>
              </w:rPr>
              <w:t>2</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2.5.12.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2.5.13.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w:t>
      </w:r>
      <w:r w:rsidR="000671E3"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в организации, использующие труд инвалидов.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2.5.14. При размещении на территории населенного пункта объектов социального и культурно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таблицей 18.</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18</w:t>
      </w:r>
    </w:p>
    <w:tbl>
      <w:tblPr>
        <w:tblW w:w="9781" w:type="dxa"/>
        <w:tblInd w:w="150" w:type="dxa"/>
        <w:tblCellMar>
          <w:left w:w="0" w:type="dxa"/>
          <w:right w:w="0" w:type="dxa"/>
        </w:tblCellMar>
        <w:tblLook w:val="04A0"/>
      </w:tblPr>
      <w:tblGrid>
        <w:gridCol w:w="811"/>
        <w:gridCol w:w="4576"/>
        <w:gridCol w:w="4394"/>
      </w:tblGrid>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п/п</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Одно парковочно</w:t>
            </w:r>
            <w:r w:rsidR="00676DEE" w:rsidRPr="007020C2">
              <w:rPr>
                <w:rFonts w:ascii="Times New Roman" w:eastAsia="Times New Roman" w:hAnsi="Times New Roman" w:cs="Times New Roman"/>
                <w:lang w:eastAsia="ru-RU"/>
              </w:rPr>
              <w:t>е</w:t>
            </w:r>
            <w:r w:rsidRPr="007020C2">
              <w:rPr>
                <w:rFonts w:ascii="Times New Roman" w:eastAsia="Times New Roman" w:hAnsi="Times New Roman" w:cs="Times New Roman"/>
                <w:lang w:eastAsia="ru-RU"/>
              </w:rPr>
              <w:t xml:space="preserve"> место из расчета на</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9639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Учреждения органов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управленческие учреждения, здания и помещения общественных организаций</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Коммерческо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деловые центры, офисные здания и помещения, страховые компании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60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Банки и банковские учреждения, кредитно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финансовые учреждения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Здания и комплексы многофункциональные</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 СП 160.1325800 «Здания и комплексы многофункциональные. Правила проектирования»</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Образовательные организации, реализующие программы высшего образования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 преподавателя и сотрудника + 1 место на 10 студентов, занятых в одну смену</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Профессиональные образовательные организации, образовательные организации искусств</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 преподавателя, занятых в одну смену</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Центры обучения, самодеятельного творчества, клубы по интересам для взрослых</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производственного и коммунального назначения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16 мест на 100 чел., работающих в двух смежных сменах</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Рынки постоянные:</w:t>
            </w:r>
          </w:p>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универсальные и непродовольственные;</w:t>
            </w:r>
          </w:p>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w:t>
            </w:r>
            <w:r w:rsidR="00F639AF" w:rsidRPr="007020C2">
              <w:rPr>
                <w:rFonts w:ascii="Times New Roman" w:eastAsia="Times New Roman" w:hAnsi="Times New Roman" w:cs="Times New Roman"/>
                <w:lang w:eastAsia="ru-RU"/>
              </w:rPr>
              <w:t xml:space="preserve"> продовольственные и сельскохозяйственные</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40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13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общественного питания периодического спроса (рестораны, кафе)</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 посадочных места</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Бани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6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Ателье, фотосалоны, салоны</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парикмахерские, салоны красоты, солярии, салоны моды, свадебные салоны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Бюро похоронного обслуживания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 рабочих места приемщика</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Гостиницы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E759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номеров</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Музеи, выставочные залы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Кинотеатры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12 зрительских мест</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Библиотеки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 постоянных мест</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религиозных конфессий</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 единовременных посетителей, но не менее 10 мест на объект</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Здания и помещения медицинских организаций</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 сотрудников, 20 коек, 33 посещения</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Спортивные комплексы и стадионы с трибунами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 мест на трибунах</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Оздоровительные комплексы (фитнес</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клубы, физкультурно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оздоровительные комплексы, спортивные и тренажерные залы)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 </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Бассейны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Автовокзалы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 пассажиров дальнего следования в час пик</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Железнодорожные станции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100 пассажиров в час пик</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Пляжи и парки в зонах отдыха</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20 мест на 100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Базы кратковременного отдыха (спортивные, </w:t>
            </w:r>
            <w:r w:rsidRPr="007020C2">
              <w:rPr>
                <w:rFonts w:ascii="Times New Roman" w:eastAsia="Times New Roman" w:hAnsi="Times New Roman" w:cs="Times New Roman"/>
                <w:lang w:eastAsia="ru-RU"/>
              </w:rPr>
              <w:lastRenderedPageBreak/>
              <w:t>лыжные, рыболовные, охотничьи и др.)</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10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15 мест на 100 единовременных </w:t>
            </w:r>
            <w:r w:rsidRPr="007020C2">
              <w:rPr>
                <w:rFonts w:ascii="Times New Roman" w:eastAsia="Times New Roman" w:hAnsi="Times New Roman" w:cs="Times New Roman"/>
                <w:lang w:eastAsia="ru-RU"/>
              </w:rPr>
              <w:lastRenderedPageBreak/>
              <w:t>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31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общественного питания и торговли в зонах отдыха</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 мест на 100 мест в залах или единовременных посетителей и персонала</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количество парковочных мест для видов объектов, не связанных с решением вопросов местного значения городского округа,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2.5.15. На автостоянках при объектах торговли, сферы услуг, объектах здравоохранения, спортивных и культурно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зрелищных объектах следует предусматривать не менее 10 % общего числа парковочных мест для автомобилей инвалидов, но не менее одного места.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2.5.16. Площадь территории для размещения одного автомобиля на автостоянках принимается 22,5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При устройстве автостоянок в уширениях проезжих частей улиц и проездов площадь для размещения 1 автомобиля принимается 18,0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2 колонки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0,1га;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5 колонок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0,2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7 колонок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0,3 га</w:t>
      </w:r>
      <w:r w:rsidR="003C5B3E"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9 колонок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0,35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2.5.18. Для движения велосипедного транспорта в городе организуются велосипедные дорожки. Велосипедная дорожка, или велодорожка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8" w:history="1">
        <w:r w:rsidRPr="007020C2">
          <w:rPr>
            <w:rFonts w:ascii="Times New Roman" w:eastAsia="Times New Roman" w:hAnsi="Times New Roman" w:cs="Times New Roman"/>
            <w:sz w:val="24"/>
            <w:szCs w:val="24"/>
            <w:lang w:eastAsia="ru-RU"/>
          </w:rPr>
          <w:t>проезжей части</w:t>
        </w:r>
      </w:hyperlink>
      <w:r w:rsidRPr="007020C2">
        <w:rPr>
          <w:rFonts w:ascii="Times New Roman" w:eastAsia="Times New Roman" w:hAnsi="Times New Roman" w:cs="Times New Roman"/>
          <w:sz w:val="24"/>
          <w:szCs w:val="24"/>
          <w:lang w:eastAsia="ru-RU"/>
        </w:rPr>
        <w:t> </w:t>
      </w:r>
      <w:hyperlink r:id="rId9" w:history="1">
        <w:r w:rsidRPr="007020C2">
          <w:rPr>
            <w:rFonts w:ascii="Times New Roman" w:eastAsia="Times New Roman" w:hAnsi="Times New Roman" w:cs="Times New Roman"/>
            <w:sz w:val="24"/>
            <w:szCs w:val="24"/>
            <w:lang w:eastAsia="ru-RU"/>
          </w:rPr>
          <w:t>разделительной полосой</w:t>
        </w:r>
      </w:hyperlink>
      <w:r w:rsidRPr="007020C2">
        <w:rPr>
          <w:rFonts w:ascii="Times New Roman" w:eastAsia="Times New Roman" w:hAnsi="Times New Roman" w:cs="Times New Roman"/>
          <w:sz w:val="24"/>
          <w:szCs w:val="24"/>
          <w:lang w:eastAsia="ru-RU"/>
        </w:rPr>
        <w:t>, </w:t>
      </w:r>
      <w:hyperlink r:id="rId10" w:history="1">
        <w:r w:rsidRPr="007020C2">
          <w:rPr>
            <w:rFonts w:ascii="Times New Roman" w:eastAsia="Times New Roman" w:hAnsi="Times New Roman" w:cs="Times New Roman"/>
            <w:sz w:val="24"/>
            <w:szCs w:val="24"/>
            <w:lang w:eastAsia="ru-RU"/>
          </w:rPr>
          <w:t>газоном</w:t>
        </w:r>
      </w:hyperlink>
      <w:r w:rsidRPr="007020C2">
        <w:rPr>
          <w:rFonts w:ascii="Times New Roman" w:eastAsia="Times New Roman" w:hAnsi="Times New Roman" w:cs="Times New Roman"/>
          <w:sz w:val="24"/>
          <w:szCs w:val="24"/>
          <w:lang w:eastAsia="ru-RU"/>
        </w:rPr>
        <w:t>, </w:t>
      </w:r>
      <w:hyperlink r:id="rId11" w:history="1">
        <w:r w:rsidRPr="007020C2">
          <w:rPr>
            <w:rFonts w:ascii="Times New Roman" w:eastAsia="Times New Roman" w:hAnsi="Times New Roman" w:cs="Times New Roman"/>
            <w:sz w:val="24"/>
            <w:szCs w:val="24"/>
            <w:lang w:eastAsia="ru-RU"/>
          </w:rPr>
          <w:t>бордюром</w:t>
        </w:r>
      </w:hyperlink>
      <w:r w:rsidRPr="007020C2">
        <w:rPr>
          <w:rFonts w:ascii="Times New Roman" w:eastAsia="Times New Roman" w:hAnsi="Times New Roman" w:cs="Times New Roman"/>
          <w:sz w:val="24"/>
          <w:szCs w:val="24"/>
          <w:lang w:eastAsia="ru-RU"/>
        </w:rPr>
        <w:t> или </w:t>
      </w:r>
      <w:hyperlink r:id="rId12" w:history="1">
        <w:r w:rsidRPr="007020C2">
          <w:rPr>
            <w:rFonts w:ascii="Times New Roman" w:eastAsia="Times New Roman" w:hAnsi="Times New Roman" w:cs="Times New Roman"/>
            <w:sz w:val="24"/>
            <w:szCs w:val="24"/>
            <w:lang w:eastAsia="ru-RU"/>
          </w:rPr>
          <w:t>разметкой</w:t>
        </w:r>
      </w:hyperlink>
      <w:r w:rsidRPr="007020C2">
        <w:rPr>
          <w:rFonts w:ascii="Times New Roman" w:eastAsia="Times New Roman" w:hAnsi="Times New Roman" w:cs="Times New Roman"/>
          <w:sz w:val="24"/>
          <w:szCs w:val="24"/>
          <w:lang w:eastAsia="ru-RU"/>
        </w:rPr>
        <w:t>.</w:t>
      </w:r>
    </w:p>
    <w:p w:rsidR="00416BE9" w:rsidRPr="007020C2" w:rsidRDefault="00F639AF" w:rsidP="00416BE9">
      <w:pPr>
        <w:pStyle w:val="1"/>
        <w:shd w:val="clear" w:color="auto" w:fill="FFFFFF"/>
        <w:spacing w:before="0" w:beforeAutospacing="0" w:after="0" w:afterAutospacing="0"/>
        <w:ind w:firstLine="567"/>
        <w:jc w:val="both"/>
        <w:textAlignment w:val="baseline"/>
        <w:rPr>
          <w:b w:val="0"/>
          <w:bCs w:val="0"/>
          <w:kern w:val="0"/>
          <w:sz w:val="24"/>
          <w:szCs w:val="24"/>
        </w:rPr>
      </w:pPr>
      <w:r w:rsidRPr="007020C2">
        <w:rPr>
          <w:b w:val="0"/>
          <w:bCs w:val="0"/>
          <w:kern w:val="0"/>
          <w:sz w:val="24"/>
          <w:szCs w:val="24"/>
        </w:rPr>
        <w:t>2.5.19. В городе  должно быть не менее 1 велодорожки в центральной его части, не менее 1 велодорожки в каждо</w:t>
      </w:r>
      <w:r w:rsidR="00416BE9" w:rsidRPr="007020C2">
        <w:rPr>
          <w:b w:val="0"/>
          <w:bCs w:val="0"/>
          <w:kern w:val="0"/>
          <w:sz w:val="24"/>
          <w:szCs w:val="24"/>
        </w:rPr>
        <w:t>й</w:t>
      </w:r>
      <w:r w:rsidRPr="007020C2">
        <w:rPr>
          <w:b w:val="0"/>
          <w:bCs w:val="0"/>
          <w:kern w:val="0"/>
          <w:sz w:val="24"/>
          <w:szCs w:val="24"/>
        </w:rPr>
        <w:t xml:space="preserve"> жилой зоне (жилом микрорайоне)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w:t>
      </w:r>
      <w:r w:rsidR="00AE7596" w:rsidRPr="007020C2">
        <w:rPr>
          <w:b w:val="0"/>
          <w:bCs w:val="0"/>
          <w:kern w:val="0"/>
          <w:sz w:val="24"/>
          <w:szCs w:val="24"/>
        </w:rPr>
        <w:t>–</w:t>
      </w:r>
      <w:r w:rsidRPr="007020C2">
        <w:rPr>
          <w:b w:val="0"/>
          <w:bCs w:val="0"/>
          <w:kern w:val="0"/>
          <w:sz w:val="24"/>
          <w:szCs w:val="24"/>
        </w:rPr>
        <w:t xml:space="preserve"> 1,75 м, двухполосного разностороннего – 2,5 м.</w:t>
      </w:r>
      <w:r w:rsidR="00416BE9" w:rsidRPr="007020C2">
        <w:rPr>
          <w:b w:val="0"/>
          <w:bCs w:val="0"/>
          <w:kern w:val="0"/>
          <w:sz w:val="24"/>
          <w:szCs w:val="24"/>
        </w:rPr>
        <w:t xml:space="preserve"> Велодорожки проектируются в соответствии с ГОСТ 33150-2014 «Дороги автомобильные общего пользования. Проектирование пешеходных и велосипедных дорожек. Общие требования».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предприятия, учреждения, организации – для 10% персонала и единовременных посетителей;</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объекты торговли, общественного питания, культуры, досуга – для 15% персонала и единовременных посетителей;</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транспортные пересадочные узлы – не менее 10 % от предусмотренного количества парковочных мест автомобилей.</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 xml:space="preserve">2.5.21.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Богородского городского округа установлена нормативами градостроительного проектирования Московской области на уровне не ниже 0,41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2.5.22. 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Богородского городского округа. Плотность совместной сеть маршрутов пассажирского транспорта на территории Богородского городского округа установлена нормативами градостроительного проектирования Московской области на уровне не ниже 0,37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 Расчетные показатели в области электро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тепло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газо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и водоснабжения населения, водоотведения.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 Основные объекты инженерной инфраструктуры, сгруппированные по целевому назначению, приведены в таблице 19.</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19</w:t>
      </w:r>
    </w:p>
    <w:tbl>
      <w:tblPr>
        <w:tblW w:w="9923" w:type="dxa"/>
        <w:tblInd w:w="150" w:type="dxa"/>
        <w:tblLayout w:type="fixed"/>
        <w:tblCellMar>
          <w:left w:w="0" w:type="dxa"/>
          <w:right w:w="0" w:type="dxa"/>
        </w:tblCellMar>
        <w:tblLook w:val="04A0"/>
      </w:tblPr>
      <w:tblGrid>
        <w:gridCol w:w="2694"/>
        <w:gridCol w:w="7229"/>
      </w:tblGrid>
      <w:tr w:rsidR="00676DEE" w:rsidRPr="007020C2" w:rsidTr="00B8681B">
        <w:trPr>
          <w:tblHeader/>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Назначение объектов инженерной инфраструктуры</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Примерный состав объектов</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Электроснабжение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Понижающие станции, линии электропередачи</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Газоснабжение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Газораспределительные станции, газонаполнительные пункты, газопроводы высокого давления, газопроводы среднего давления</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Теплоснабжение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Теплоэлектроцентрали, котельные, магистральные сети</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Водоснабжение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Водозаборы, водоочистные сооружения, насосные станции, магистральные сети</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Водоотведение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b/>
          <w:bCs/>
          <w:color w:val="666666"/>
          <w:sz w:val="24"/>
          <w:szCs w:val="24"/>
          <w:bdr w:val="none" w:sz="0" w:space="0" w:color="auto" w:frame="1"/>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2.6.2. Минимальный уровень обеспеченности населения территорией для размещения объектов инженерной инфраструктуры в границах городского округа, определяется из расчета не менее 0,14 га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2.6.3. Показатели обеспечения жителей города Ногинска объектами газоснабжения принимаются в виде удельного месячного расхода природного газа на коммунально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бытовые нужды в расчете на одного жителя в месяц приведены в таблице 20.</w:t>
      </w: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20</w:t>
      </w:r>
    </w:p>
    <w:tbl>
      <w:tblPr>
        <w:tblW w:w="9915" w:type="dxa"/>
        <w:tblInd w:w="150" w:type="dxa"/>
        <w:tblCellMar>
          <w:left w:w="0" w:type="dxa"/>
          <w:right w:w="0" w:type="dxa"/>
        </w:tblCellMar>
        <w:tblLook w:val="04A0"/>
      </w:tblPr>
      <w:tblGrid>
        <w:gridCol w:w="796"/>
        <w:gridCol w:w="4591"/>
        <w:gridCol w:w="2402"/>
        <w:gridCol w:w="2126"/>
      </w:tblGrid>
      <w:tr w:rsidR="00676DEE" w:rsidRPr="007020C2" w:rsidTr="00B8681B">
        <w:trPr>
          <w:tblHeader/>
        </w:trPr>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п/п</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Направления использования природного газа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Единица измерения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потребления природного газа</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23,1</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11,6</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Нагрев воды с использованием газового водонагревателя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13,1</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Индивидуальное (поквартирное) отопление жилых помещений (жилых домов, квартир, комнат)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br/>
              <w:t>отапливаемой площади (в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Прочие цели (отопление нежилых помещений)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br/>
              <w:t>отапливаемой площади (в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26,0</w:t>
            </w:r>
          </w:p>
        </w:tc>
      </w:tr>
    </w:tbl>
    <w:p w:rsidR="00F639AF" w:rsidRPr="007020C2" w:rsidRDefault="00F639AF" w:rsidP="00676DEE">
      <w:pPr>
        <w:spacing w:after="0" w:line="240" w:lineRule="auto"/>
        <w:jc w:val="center"/>
        <w:textAlignment w:val="baseline"/>
        <w:rPr>
          <w:rFonts w:ascii="Times New Roman" w:eastAsia="Times New Roman" w:hAnsi="Times New Roman" w:cs="Times New Roman"/>
          <w:color w:val="666666"/>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2.6.4. 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2.6.5. 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02</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2003.</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2.6.6. 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85* раздел 10, приложение 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2.6.7. Расчетные показатели энергоснабжения жителей, в виде нормативов потребления электроэнергии, принимаются в соответствии со сводом правил СП 31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110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2003 «Проектирование и монтаж электроустановок жилых и общественных зданий»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раздел 6.</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2.6.8.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01</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2003 «Здания жилые многоквартирные».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коммунальные нужды и пожаротушение.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2.6.10. Максимальные размеры земельных участков для размещения водоочистных сооружений в зависимости от их производительности приведены в таблице 21.</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21</w:t>
      </w:r>
    </w:p>
    <w:tbl>
      <w:tblPr>
        <w:tblW w:w="9923" w:type="dxa"/>
        <w:tblInd w:w="150" w:type="dxa"/>
        <w:tblCellMar>
          <w:left w:w="0" w:type="dxa"/>
          <w:right w:w="0" w:type="dxa"/>
        </w:tblCellMar>
        <w:tblLook w:val="04A0"/>
      </w:tblPr>
      <w:tblGrid>
        <w:gridCol w:w="4962"/>
        <w:gridCol w:w="4961"/>
      </w:tblGrid>
      <w:tr w:rsidR="00F639AF" w:rsidRPr="007020C2" w:rsidTr="00676DEE">
        <w:trPr>
          <w:trHeight w:val="550"/>
          <w:tblHeader/>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Производительность, тыс. 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/сут.</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га</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0,1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0,1 до 0,4</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0,35</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0,4 до 0,8</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0,8 до 1,5</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1,5 до 3,0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r>
      <w:tr w:rsidR="00F639AF" w:rsidRPr="007020C2" w:rsidTr="00676DEE">
        <w:trPr>
          <w:trHeight w:val="419"/>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3,0 до 10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r>
    </w:tbl>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2.6.11. Для отдельно стоящих неканализованных индивидуальных жилых домов при расходе сточных вод до 1 м</w:t>
      </w:r>
      <w:r w:rsidRPr="007020C2">
        <w:rPr>
          <w:rFonts w:ascii="Times New Roman" w:eastAsia="Times New Roman" w:hAnsi="Times New Roman" w:cs="Times New Roman"/>
          <w:sz w:val="24"/>
          <w:szCs w:val="24"/>
          <w:vertAlign w:val="superscript"/>
          <w:lang w:eastAsia="ru-RU"/>
        </w:rPr>
        <w:t>3</w:t>
      </w:r>
      <w:r w:rsidRPr="007020C2">
        <w:rPr>
          <w:rFonts w:ascii="Times New Roman" w:eastAsia="Times New Roman" w:hAnsi="Times New Roman" w:cs="Times New Roman"/>
          <w:sz w:val="24"/>
          <w:szCs w:val="24"/>
          <w:lang w:eastAsia="ru-RU"/>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2.6.12. Максимальный размер земельного участка для размещения понизительных подстанций напряжением 35 кВ и выше принимается 0,6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2.6.13. Максимальные размеры земельных участков для размещения котельных в зависимости от их производительности приведены в таблице 22.</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22</w:t>
      </w:r>
    </w:p>
    <w:tbl>
      <w:tblPr>
        <w:tblW w:w="9923" w:type="dxa"/>
        <w:tblInd w:w="150" w:type="dxa"/>
        <w:tblCellMar>
          <w:left w:w="0" w:type="dxa"/>
          <w:right w:w="0" w:type="dxa"/>
        </w:tblCellMar>
        <w:tblLook w:val="04A0"/>
      </w:tblPr>
      <w:tblGrid>
        <w:gridCol w:w="4962"/>
        <w:gridCol w:w="4961"/>
      </w:tblGrid>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Теплопроизводительность, Гкал/час</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га</w:t>
            </w:r>
          </w:p>
        </w:tc>
      </w:tr>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5</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p>
        </w:tc>
      </w:tr>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5 до 10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r>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10 до 50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2.6.14.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2.6.15.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2.6.16.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 Расчетные показатели в области благоустройства придомовой территории.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подходы и подъезды к дому;</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территория зеленых насаждений с площадками для игр детей и отдыха взрослых, занятий физической культурой и спортом;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хозяйственные (контейнерные) площадки для сбора мусора.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2.7.2. Для расчета минимального размера элемента придомовой территории используется безразмерный показатель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и пристроенных помещений многоквартирного жилого дома в квадратных метрах. Показатели минимальной удельной площади придомовой территории и отдельных ее элементов для многоквартирных жилых домов различной средней этажности в городских насе</w:t>
      </w:r>
      <w:r w:rsidR="00B54747" w:rsidRPr="007020C2">
        <w:rPr>
          <w:rFonts w:ascii="Times New Roman" w:eastAsia="Times New Roman" w:hAnsi="Times New Roman" w:cs="Times New Roman"/>
          <w:sz w:val="24"/>
          <w:szCs w:val="24"/>
          <w:lang w:eastAsia="ru-RU"/>
        </w:rPr>
        <w:t>л</w:t>
      </w:r>
      <w:r w:rsidRPr="007020C2">
        <w:rPr>
          <w:rFonts w:ascii="Times New Roman" w:eastAsia="Times New Roman" w:hAnsi="Times New Roman" w:cs="Times New Roman"/>
          <w:sz w:val="24"/>
          <w:szCs w:val="24"/>
          <w:lang w:eastAsia="ru-RU"/>
        </w:rPr>
        <w:t>енных пунктах приведены в таблице 23.</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23</w:t>
      </w:r>
    </w:p>
    <w:tbl>
      <w:tblPr>
        <w:tblW w:w="9924" w:type="dxa"/>
        <w:tblInd w:w="150" w:type="dxa"/>
        <w:tblLayout w:type="fixed"/>
        <w:tblCellMar>
          <w:left w:w="0" w:type="dxa"/>
          <w:right w:w="0" w:type="dxa"/>
        </w:tblCellMar>
        <w:tblLook w:val="04A0"/>
      </w:tblPr>
      <w:tblGrid>
        <w:gridCol w:w="3544"/>
        <w:gridCol w:w="851"/>
        <w:gridCol w:w="709"/>
        <w:gridCol w:w="708"/>
        <w:gridCol w:w="709"/>
        <w:gridCol w:w="709"/>
        <w:gridCol w:w="708"/>
        <w:gridCol w:w="709"/>
        <w:gridCol w:w="649"/>
        <w:gridCol w:w="628"/>
      </w:tblGrid>
      <w:tr w:rsidR="002643E1" w:rsidRPr="007020C2" w:rsidTr="006E4C17">
        <w:trPr>
          <w:trHeight w:val="511"/>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Придомовая территория многоквартирного жилого дома и </w:t>
            </w:r>
            <w:r w:rsidRPr="007020C2">
              <w:rPr>
                <w:rFonts w:ascii="Times New Roman" w:eastAsia="Times New Roman" w:hAnsi="Times New Roman" w:cs="Times New Roman"/>
                <w:lang w:eastAsia="ru-RU"/>
              </w:rPr>
              <w:lastRenderedPageBreak/>
              <w:t>ее элементы</w:t>
            </w:r>
          </w:p>
        </w:tc>
        <w:tc>
          <w:tcPr>
            <w:tcW w:w="6380" w:type="dxa"/>
            <w:gridSpan w:val="9"/>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Минимальная удельная площадь придомовой территории</w:t>
            </w:r>
          </w:p>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 отдельных ее элементов</w:t>
            </w:r>
          </w:p>
        </w:tc>
      </w:tr>
      <w:tr w:rsidR="002643E1" w:rsidRPr="007020C2" w:rsidTr="006E4C17">
        <w:trPr>
          <w:trHeight w:val="976"/>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643E1">
            <w:pPr>
              <w:spacing w:after="0" w:line="240" w:lineRule="auto"/>
              <w:jc w:val="center"/>
              <w:rPr>
                <w:rFonts w:ascii="Times New Roman" w:eastAsia="Times New Roman" w:hAnsi="Times New Roman" w:cs="Times New Roman"/>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c>
          <w:tcPr>
            <w:tcW w:w="198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484F1D" w:rsidRPr="007020C2" w:rsidTr="00484F1D">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4F1D" w:rsidRPr="007020C2" w:rsidRDefault="00484F1D" w:rsidP="002643E1">
            <w:pPr>
              <w:spacing w:after="0" w:line="240" w:lineRule="auto"/>
              <w:jc w:val="center"/>
              <w:rPr>
                <w:rFonts w:ascii="Times New Roman" w:eastAsia="Times New Roman" w:hAnsi="Times New Roman" w:cs="Times New Roman"/>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 эт.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AC36BF">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 эт.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AC36BF">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AC36BF">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 эт.</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484F1D">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 эт.</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Стоянки для хранения индивидуального автомобильного транспорта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A13E89">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r w:rsidR="00A13E89" w:rsidRPr="007020C2">
              <w:rPr>
                <w:rFonts w:ascii="Times New Roman" w:eastAsia="Times New Roman" w:hAnsi="Times New Roman" w:cs="Times New Roman"/>
                <w:lang w:eastAsia="ru-RU"/>
              </w:rPr>
              <w:t>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A6C7D">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A6C7D">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0,20</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2643E1">
            <w:pPr>
              <w:spacing w:after="0" w:line="240" w:lineRule="auto"/>
              <w:ind w:lef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0,18</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Территория зеленых насаждений с площадками для игр детей и отдыха взрослых, занятий физической культурой и спортом</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0,44</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0,44</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2643E1">
            <w:pPr>
              <w:spacing w:after="0" w:line="240" w:lineRule="auto"/>
              <w:ind w:left="-150" w:firstLine="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0,44</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Хозяйственные (контейнерные) площадки для сбора мусора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2643E1">
            <w:pPr>
              <w:spacing w:after="0" w:line="240" w:lineRule="auto"/>
              <w:ind w:left="-150" w:firstLine="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Придомовая территория в целом</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E85F18">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A13E89" w:rsidRPr="007020C2">
              <w:rPr>
                <w:rFonts w:ascii="Times New Roman" w:eastAsia="Times New Roman" w:hAnsi="Times New Roman" w:cs="Times New Roman"/>
                <w:lang w:eastAsia="ru-RU"/>
              </w:rPr>
              <w:t>8</w:t>
            </w:r>
            <w:r w:rsidR="00E85F18" w:rsidRPr="007020C2">
              <w:rPr>
                <w:rFonts w:ascii="Times New Roman" w:eastAsia="Times New Roman" w:hAnsi="Times New Roman" w:cs="Times New Roman"/>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0,67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7D4732">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7D4732" w:rsidRPr="007020C2">
              <w:rPr>
                <w:rFonts w:ascii="Times New Roman" w:eastAsia="Times New Roman" w:hAnsi="Times New Roman" w:cs="Times New Roman"/>
                <w:lang w:eastAsia="ru-RU"/>
              </w:rPr>
              <w:t>89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E85F18">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r w:rsidR="00E85F18" w:rsidRPr="007020C2">
              <w:rPr>
                <w:rFonts w:ascii="Times New Roman" w:eastAsia="Times New Roman" w:hAnsi="Times New Roman" w:cs="Times New Roman"/>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E85F18">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r w:rsidR="00C94B42" w:rsidRPr="007020C2">
              <w:rPr>
                <w:rFonts w:ascii="Times New Roman" w:eastAsia="Times New Roman" w:hAnsi="Times New Roman" w:cs="Times New Roman"/>
                <w:lang w:eastAsia="ru-RU"/>
              </w:rPr>
              <w:t>4</w:t>
            </w:r>
            <w:r w:rsidR="00E85F18" w:rsidRPr="007020C2">
              <w:rPr>
                <w:rFonts w:ascii="Times New Roman" w:eastAsia="Times New Roman" w:hAnsi="Times New Roman" w:cs="Times New Roman"/>
                <w:lang w:eastAsia="ru-RU"/>
              </w:rPr>
              <w:t>3</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7D4732" w:rsidP="00E85F18">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484F1D"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w:t>
            </w:r>
            <w:r w:rsidR="00E85F18" w:rsidRPr="007020C2">
              <w:rPr>
                <w:rFonts w:ascii="Times New Roman" w:eastAsia="Times New Roman" w:hAnsi="Times New Roman" w:cs="Times New Roman"/>
                <w:lang w:eastAsia="ru-RU"/>
              </w:rPr>
              <w:t>2</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7D4732" w:rsidP="00E85F18">
            <w:pPr>
              <w:spacing w:after="0" w:line="240" w:lineRule="auto"/>
              <w:ind w:left="-150" w:firstLine="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C94B42"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w:t>
            </w:r>
            <w:r w:rsidR="00E85F18" w:rsidRPr="007020C2">
              <w:rPr>
                <w:rFonts w:ascii="Times New Roman" w:eastAsia="Times New Roman" w:hAnsi="Times New Roman" w:cs="Times New Roman"/>
                <w:lang w:eastAsia="ru-RU"/>
              </w:rPr>
              <w:t>2</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для промежуточных значений средней этажности жилых домов минимальная удельная площадь придомовой территории и ее элементов рассчитывается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применительно к встроенным и пристроенным нежилым помещениям  допускается перераспределять до 60 % удельной площади территории зеленых насаждений с площадками для игр детей и отдыха взрослых, занятий физической культурой и спортом в пользу удельной площади приобъектных стоянок, обслуживающих нежилые помещения;</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допускается устройство общей контейнерной площадки для сбора мусора, обслуживающей несколько домов на смежных земельных участках;</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F639AF" w:rsidRPr="007020C2" w:rsidRDefault="00AE7596"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для общих внутриквартальных детских и спортивных площадок;</w:t>
      </w:r>
    </w:p>
    <w:p w:rsidR="00F639AF" w:rsidRPr="007020C2" w:rsidRDefault="00AE7596"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для внутриквартального озеленения;</w:t>
      </w:r>
    </w:p>
    <w:p w:rsidR="00F639AF" w:rsidRPr="007020C2" w:rsidRDefault="00AE7596"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для стоянок (в том числе многоэтажных и подземных) индивидуального автомобильного транспорта жителей многоквартирных домов квартала;</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размеры, требования к размещению, покрытию и иные характеристики детских, спортивных, контейнерных площадок и п</w:t>
      </w:r>
      <w:r w:rsidR="00023C42">
        <w:rPr>
          <w:rFonts w:ascii="Times New Roman" w:eastAsia="Times New Roman" w:hAnsi="Times New Roman" w:cs="Times New Roman"/>
          <w:lang w:eastAsia="ru-RU"/>
        </w:rPr>
        <w:t>лощадок для отдыха установлены </w:t>
      </w:r>
      <w:r w:rsidRPr="007020C2">
        <w:rPr>
          <w:rFonts w:ascii="Times New Roman" w:eastAsia="Times New Roman" w:hAnsi="Times New Roman" w:cs="Times New Roman"/>
          <w:lang w:eastAsia="ru-RU"/>
        </w:rPr>
        <w:t>статьями 12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14 Закона Московской области 30.12.2014 № 191/2014</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 «О благоустройстве в Московской области» и регламентированы Правилами благоустройства территории Богородского городс</w:t>
      </w:r>
      <w:r w:rsidR="00023C42">
        <w:rPr>
          <w:rFonts w:ascii="Times New Roman" w:eastAsia="Times New Roman" w:hAnsi="Times New Roman" w:cs="Times New Roman"/>
          <w:lang w:eastAsia="ru-RU"/>
        </w:rPr>
        <w:t>кого округа Московской области.</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2.7.3. Придомовые площадки размещаются от окон жилых и общественных зданий на расстоянии: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игр детей дошкольного и младшего школьного возраста – не менее 12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отдыха взрослого населения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10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занятий физической культурой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10 м (спортивные площадки для футбола, хоккея и других командных игровых видов спорта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40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мусоросборников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20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2.7.4. Расстояния от контейнерных площадок до площадок для отдыха, игр и занятий физической культурой, а также до границ детских дошкольных организаций и лечебных учреждений следует принимать не менее 20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23. К контейнерным площадкам должны быть обеспечены подъезды, позволяющие маневрировать обслуживающему мусоровозному транспорту.</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15 домов, но не далее чем в 100 м от входа в дом).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2.7.8. Тупиковые проезды заканчиваются разворотными площадками размерами 15х15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менее 1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2.7.12. Общественные туалеты размещаются на расстоянии не менее 50 м от жилых и общественных зданий из расчета 1 прибор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 Расчетные показатели мест захоронения.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2.8.1. Площадь земельного участка для кладбища принимается из расчета 0,24 га на 1 тыс. жителей, но не менее 0,5 га и не более 40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2.8.3. Устройство автостоянок осуществляется из расчета 10 парковочных мест на 1 га территории общественного кладбища. Н а каждой автостоянке должно выделяться не менее 10 </w:t>
      </w:r>
      <w:r w:rsidRPr="007020C2">
        <w:rPr>
          <w:rFonts w:ascii="Times New Roman" w:eastAsia="Times New Roman" w:hAnsi="Times New Roman" w:cs="Times New Roman"/>
          <w:sz w:val="24"/>
          <w:szCs w:val="24"/>
          <w:lang w:eastAsia="ru-RU"/>
        </w:rPr>
        <w:lastRenderedPageBreak/>
        <w:t>процентов (но не менее одного места) для парковки специальных автотранспортных средств инвалидов.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2.9.1.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12.02.1998 № 28</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«О гражданской обороне» с учетом требований СНиП 2.01.51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90 «Инженерно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технические мероприятия гражданской обороны».</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880563" w:rsidRPr="007020C2">
        <w:rPr>
          <w:rFonts w:ascii="Times New Roman" w:eastAsia="Times New Roman" w:hAnsi="Times New Roman" w:cs="Times New Roman"/>
          <w:sz w:val="24"/>
          <w:szCs w:val="24"/>
          <w:lang w:eastAsia="ru-RU"/>
        </w:rPr>
        <w:t>городского округа</w:t>
      </w:r>
      <w:r w:rsidRPr="007020C2">
        <w:rPr>
          <w:rFonts w:ascii="Times New Roman" w:eastAsia="Times New Roman" w:hAnsi="Times New Roman" w:cs="Times New Roman"/>
          <w:sz w:val="24"/>
          <w:szCs w:val="24"/>
          <w:lang w:eastAsia="ru-RU"/>
        </w:rPr>
        <w:t xml:space="preserve"> проектируются в соответствии с требованиями Федерального закона от 21.12.1994 № 68</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«О защите населения и территорий от чрезвычайных ситуаций природного и техногенного характера» с учетом требований ГОСТ Р 22.0.07</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95 и СП 11</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112</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2001.</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2.9.3. Объекты местного значения, для пожарной охраны проектируются в соответствии с требованиями Федерального закона от 22.07.2008 № 123</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95.</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B70DDE" w:rsidP="00B70DDE">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3. </w:t>
      </w:r>
      <w:r w:rsidR="00F639AF" w:rsidRPr="007020C2">
        <w:rPr>
          <w:rFonts w:ascii="Times New Roman" w:eastAsia="Times New Roman" w:hAnsi="Times New Roman" w:cs="Times New Roman"/>
          <w:b/>
          <w:bCs/>
          <w:sz w:val="24"/>
          <w:szCs w:val="24"/>
          <w:bdr w:val="none" w:sz="0" w:space="0" w:color="auto" w:frame="1"/>
          <w:lang w:eastAsia="ru-RU"/>
        </w:rPr>
        <w:t>Материалы по обоснованию расчетных показателей, содержащихся в основной части нормативов градостроительного проектирования.</w:t>
      </w:r>
    </w:p>
    <w:p w:rsidR="00F639AF" w:rsidRPr="007020C2" w:rsidRDefault="00F639AF" w:rsidP="00B70DDE">
      <w:pPr>
        <w:spacing w:after="0" w:line="240" w:lineRule="auto"/>
        <w:jc w:val="center"/>
        <w:textAlignment w:val="baseline"/>
        <w:rPr>
          <w:rFonts w:ascii="Times New Roman" w:eastAsia="Times New Roman" w:hAnsi="Times New Roman" w:cs="Times New Roman"/>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3.1. Обоснование расчетных показателей основывается на: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применении и соблюдении требований и норм, связанных с градостроительной деятельностью, содержащихся: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нормативных правовых актах Российской федерации;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нормативных правовых актах Московской области;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муниципальных правовых актах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национальных стандартах и сводах правил;</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соблюдении: </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технических регламентов;</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нормативов градостроительного проектирования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учете показателей и данных, содержащихся: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планах и программах комплексного социально</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экономического развития Богородского городского округа, при реализации которых осуществляется создание объектов местного значения;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официальных статистических отчетах, содержащих сведения о состоянии экономики и социальной сферы, социально</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демографическом составе и плотности населения на территории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утвержденных документах территориального планирования Российской Федерации и Московской области;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утвержденных документах территориального планирования Богородского городского округа и материалах по их обоснованию; </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w:t>
      </w:r>
      <w:r w:rsidR="00F639AF" w:rsidRPr="007020C2">
        <w:rPr>
          <w:rFonts w:ascii="Times New Roman" w:eastAsia="Times New Roman" w:hAnsi="Times New Roman" w:cs="Times New Roman"/>
          <w:sz w:val="24"/>
          <w:szCs w:val="24"/>
          <w:lang w:eastAsia="ru-RU"/>
        </w:rPr>
        <w:t> в утвержденных проектах планировки и материалах по их обоснованию;</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методических материалах в области градостроительной деятельности;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корректном применении математических моделей и методов при проведении расчетов показателей местных нормативов.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количество единиц объектов;</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площадь объекта, его помещений и (или) земельного участка для размещения объекта;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вместимость (производительность, мощность, количество мест и т.п.) объекта и иные нормируемые показатели, характеризующие объект.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w:t>
      </w:r>
      <w:r w:rsidR="00F26A2F" w:rsidRPr="007020C2">
        <w:rPr>
          <w:rFonts w:ascii="Times New Roman" w:eastAsia="Times New Roman" w:hAnsi="Times New Roman" w:cs="Times New Roman"/>
          <w:sz w:val="24"/>
          <w:szCs w:val="24"/>
          <w:lang w:eastAsia="ru-RU"/>
        </w:rPr>
        <w:t>б</w:t>
      </w:r>
      <w:r w:rsidRPr="007020C2">
        <w:rPr>
          <w:rFonts w:ascii="Times New Roman" w:eastAsia="Times New Roman" w:hAnsi="Times New Roman" w:cs="Times New Roman"/>
          <w:sz w:val="24"/>
          <w:szCs w:val="24"/>
          <w:lang w:eastAsia="ru-RU"/>
        </w:rPr>
        <w:t>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3.3. В соответствии с частью 2 статьи 29.2 Градостроительного кодекса РФ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 713/30 (далее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региональные нормативы, РНГП МО), в своем составе содержат расчетные показатели, применительно к объектам местного значения городских округов.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3.4. Согласно статьи 29.4 Градостроительного кодекса РФ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Таким образом, предельные значения показателей РНГП МО задают рамочные ограничения для предельных показателей местных нормативов по отношению к объектам местного значения Богородского городского округа. Следовательно, предельные значения показателей РНГП МО могут быть приняты за основу при подготовке аналогичных показателей местных нормативов.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3.5.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24. Материалы по обоснованию включают ссылки на использованные документы [№ документа в таблице 25], извлечения из этих документов, краткие пояснения, принятые допущения, математические формулы и вычисления при необходимости. Перечень использованных документов, на которые содержатся ссылки в таблице 24, приведен в таблице 25.</w:t>
      </w:r>
    </w:p>
    <w:p w:rsidR="00F26A2F" w:rsidRPr="007020C2" w:rsidRDefault="00F26A2F" w:rsidP="00B70DDE">
      <w:pPr>
        <w:spacing w:after="0"/>
        <w:ind w:firstLine="567"/>
        <w:jc w:val="both"/>
        <w:textAlignment w:val="baseline"/>
        <w:rPr>
          <w:rFonts w:ascii="Times New Roman" w:eastAsia="Times New Roman" w:hAnsi="Times New Roman" w:cs="Times New Roman"/>
          <w:sz w:val="24"/>
          <w:szCs w:val="24"/>
          <w:lang w:eastAsia="ru-RU"/>
        </w:rPr>
      </w:pP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24</w:t>
      </w:r>
    </w:p>
    <w:tbl>
      <w:tblPr>
        <w:tblW w:w="9923" w:type="dxa"/>
        <w:tblInd w:w="150" w:type="dxa"/>
        <w:tblLayout w:type="fixed"/>
        <w:tblCellMar>
          <w:left w:w="0" w:type="dxa"/>
          <w:right w:w="0" w:type="dxa"/>
        </w:tblCellMar>
        <w:tblLook w:val="04A0"/>
      </w:tblPr>
      <w:tblGrid>
        <w:gridCol w:w="1560"/>
        <w:gridCol w:w="8363"/>
      </w:tblGrid>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Номера пунктов и таблиц с расчетными показателями</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Материалы по обоснованию расчетных показателей</w:t>
            </w:r>
          </w:p>
        </w:tc>
      </w:tr>
      <w:tr w:rsidR="007C4C6F" w:rsidRPr="007020C2" w:rsidTr="00F26A2F">
        <w:trPr>
          <w:trHeight w:val="210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A7D89">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Максимально допустимая этажность жилых и нежилых зданий установлена по [1] (см. раздел I, подраздел 1, п.1.10 и таблиц</w:t>
            </w:r>
            <w:r w:rsidR="008A7D89" w:rsidRPr="007020C2">
              <w:rPr>
                <w:rFonts w:ascii="Times New Roman" w:eastAsia="Times New Roman" w:hAnsi="Times New Roman" w:cs="Times New Roman"/>
                <w:lang w:eastAsia="ru-RU"/>
              </w:rPr>
              <w:t>ы№№ 1, 1а</w:t>
            </w:r>
            <w:r w:rsidRPr="007020C2">
              <w:rPr>
                <w:rFonts w:ascii="Times New Roman" w:eastAsia="Times New Roman" w:hAnsi="Times New Roman" w:cs="Times New Roman"/>
                <w:lang w:eastAsia="ru-RU"/>
              </w:rPr>
              <w:t>). Для города Ногинска, отнесенного к историческим поселениям федерального значения, максимальная этажность 9 этажей. Для расположенных в городской устойчивой системе расселения городов с численностью населения от 15 до 50 тыс. человек (города Старая Купавна и Электроугли) максимальная этажность 7 этажей, посёлков городского типа с численностью населения от 3 до 15 тыс. человек (рабочие посёлки им. Воровского и Обухово) максимальная этажность 5 этажей.. В сельских населенных пунктах вне зависимости от численности населения максимальная этажность 3 этажа. </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2.1.4</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2.1.5</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коэффициент и плотность застройки жилого квартала</w:t>
            </w:r>
            <w:r w:rsidR="000671E3" w:rsidRPr="007020C2">
              <w:rPr>
                <w:rFonts w:ascii="Times New Roman" w:eastAsia="Times New Roman" w:hAnsi="Times New Roman" w:cs="Times New Roman"/>
                <w:lang w:eastAsia="ru-RU"/>
              </w:rPr>
              <w:t xml:space="preserve"> и жилого района</w:t>
            </w:r>
            <w:r w:rsidRPr="007020C2">
              <w:rPr>
                <w:rFonts w:ascii="Times New Roman" w:eastAsia="Times New Roman" w:hAnsi="Times New Roman" w:cs="Times New Roman"/>
                <w:lang w:eastAsia="ru-RU"/>
              </w:rPr>
              <w:t xml:space="preserve"> 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r w:rsidR="000671E3" w:rsidRPr="007020C2">
              <w:rPr>
                <w:rFonts w:ascii="Times New Roman" w:eastAsia="Times New Roman" w:hAnsi="Times New Roman" w:cs="Times New Roman"/>
                <w:lang w:eastAsia="ru-RU"/>
              </w:rPr>
              <w:t>свыше 100 тыс. человек</w:t>
            </w:r>
            <w:r w:rsidR="009E7203" w:rsidRPr="007020C2">
              <w:rPr>
                <w:rFonts w:ascii="Times New Roman" w:eastAsia="Times New Roman" w:hAnsi="Times New Roman" w:cs="Times New Roman"/>
                <w:lang w:eastAsia="ru-RU"/>
              </w:rPr>
              <w:t xml:space="preserve"> (город Ногинск), </w:t>
            </w:r>
            <w:r w:rsidRPr="007020C2">
              <w:rPr>
                <w:rFonts w:ascii="Times New Roman" w:eastAsia="Times New Roman" w:hAnsi="Times New Roman" w:cs="Times New Roman"/>
                <w:lang w:eastAsia="ru-RU"/>
              </w:rPr>
              <w:t>от 15 до 50  тыс. человек (</w:t>
            </w:r>
            <w:r w:rsidR="000671E3" w:rsidRPr="007020C2">
              <w:rPr>
                <w:rFonts w:ascii="Times New Roman" w:eastAsia="Times New Roman" w:hAnsi="Times New Roman" w:cs="Times New Roman"/>
                <w:lang w:eastAsia="ru-RU"/>
              </w:rPr>
              <w:t>города Старая Купавна и Электроугли</w:t>
            </w:r>
            <w:r w:rsidRPr="007020C2">
              <w:rPr>
                <w:rFonts w:ascii="Times New Roman" w:eastAsia="Times New Roman" w:hAnsi="Times New Roman" w:cs="Times New Roman"/>
                <w:lang w:eastAsia="ru-RU"/>
              </w:rPr>
              <w:t>), от 3 до 15 тыс. человек (</w:t>
            </w:r>
            <w:r w:rsidR="000671E3" w:rsidRPr="007020C2">
              <w:rPr>
                <w:rFonts w:ascii="Times New Roman" w:eastAsia="Times New Roman" w:hAnsi="Times New Roman" w:cs="Times New Roman"/>
                <w:lang w:eastAsia="ru-RU"/>
              </w:rPr>
              <w:t>рабочие посёлки им. Воровского и Обухово</w:t>
            </w:r>
            <w:r w:rsidRPr="007020C2">
              <w:rPr>
                <w:rFonts w:ascii="Times New Roman" w:eastAsia="Times New Roman" w:hAnsi="Times New Roman" w:cs="Times New Roman"/>
                <w:lang w:eastAsia="ru-RU"/>
              </w:rPr>
              <w:t xml:space="preserve">), </w:t>
            </w:r>
            <w:r w:rsidR="00910B72" w:rsidRPr="007020C2">
              <w:rPr>
                <w:rFonts w:ascii="Times New Roman" w:eastAsia="Times New Roman" w:hAnsi="Times New Roman" w:cs="Times New Roman"/>
                <w:lang w:eastAsia="ru-RU"/>
              </w:rPr>
              <w:t xml:space="preserve">от 3 до 15 тыс. человек, </w:t>
            </w:r>
            <w:r w:rsidRPr="007020C2">
              <w:rPr>
                <w:rFonts w:ascii="Times New Roman" w:eastAsia="Times New Roman" w:hAnsi="Times New Roman" w:cs="Times New Roman"/>
                <w:lang w:eastAsia="ru-RU"/>
              </w:rPr>
              <w:t>от 1 до 3 тыс. человек и менее 1 тыс. человек (сельские населенные пункты),  расположенных в городской устойчивой системе расселения.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для хранения индивидуального автомобильного транспорта;</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инженерного обеспечения;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физкультурно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спортивного назначения;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торговли и общественного питания;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коммунального и бытового обслуживания.</w:t>
            </w:r>
          </w:p>
          <w:p w:rsidR="00F639AF" w:rsidRPr="007020C2" w:rsidRDefault="00F639AF" w:rsidP="000671E3">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Эти условия определены в [1] (см. раздел I, подраздел 1, п. 5.5 и строки 1</w:t>
            </w:r>
            <w:r w:rsidR="000671E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 таблицы №№ 7, 13, 22, 28, 31, 32).</w:t>
            </w:r>
          </w:p>
        </w:tc>
      </w:tr>
      <w:tr w:rsidR="007C4C6F" w:rsidRPr="007020C2" w:rsidTr="00E137ED">
        <w:trPr>
          <w:trHeight w:val="5364"/>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2.1.6</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137ED">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интервалах 200 </w:t>
            </w:r>
            <w:r w:rsidR="00F4793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800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(рабочие посёлки им. Воровского и Обухово), 200 – 600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(города Старая Купавна и Электроугли), 200 </w:t>
            </w:r>
            <w:r w:rsidR="00F4793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500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(город Ногинск). Коэффициент застройки земельного участка (см. раздел I, подраздел 1, п.1.17) должен быть не более 40 %  и этажность не более 3 этажей. При этом на земельном участке 600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площадь застройки может достигать 600×(40% / 100%) =240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а поэтажная площадь дома на одну семью 240× 3 =720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что позволяет удовлетворить запросы большинства семей. Рост комфортности проживания на земельном участке площадью превышающей 600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соответствует наибольшая плотность застройки 12000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 которая существенно выше плотности 9600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 установленной для застройки квартала 3 этажными многоквартирными домами в городе Ногинске. С увеличением площади земельного участка, (например, до 800; 1000; 1200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последовательно снижается максимальный коэффициент застройки (32,5; 28,0; 25,0%) и максимальная плотность застройки (9750; 8400; 7500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 обеспечивая умеренный рост максимальной поэтажной площади индивидуального дома (780; 840; 900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w:t>
            </w:r>
          </w:p>
        </w:tc>
      </w:tr>
      <w:tr w:rsidR="00E137ED" w:rsidRPr="007020C2" w:rsidTr="006B3DE9">
        <w:trPr>
          <w:trHeight w:val="683"/>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E137ED" w:rsidRPr="007020C2" w:rsidRDefault="00E137E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2.1.7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E137ED" w:rsidRPr="007020C2" w:rsidRDefault="00E137ED" w:rsidP="006B3DE9">
            <w:pPr>
              <w:spacing w:after="0"/>
              <w:rPr>
                <w:rFonts w:ascii="Times New Roman" w:eastAsia="Times New Roman" w:hAnsi="Times New Roman" w:cs="Times New Roman"/>
                <w:lang w:eastAsia="ru-RU"/>
              </w:rPr>
            </w:pPr>
            <w:r w:rsidRPr="007020C2">
              <w:rPr>
                <w:rFonts w:ascii="Times New Roman" w:hAnsi="Times New Roman" w:cs="Times New Roman"/>
                <w:sz w:val="24"/>
                <w:szCs w:val="24"/>
              </w:rPr>
              <w:t xml:space="preserve">Норма нежилых помещений в жилых домах установлена </w:t>
            </w:r>
            <w:r w:rsidRPr="007020C2">
              <w:rPr>
                <w:rFonts w:ascii="Times New Roman" w:hAnsi="Times New Roman" w:cs="Times New Roman"/>
                <w:bCs/>
                <w:sz w:val="24"/>
                <w:szCs w:val="24"/>
              </w:rPr>
              <w:t xml:space="preserve">по </w:t>
            </w:r>
            <w:r w:rsidR="006B3DE9" w:rsidRPr="007020C2">
              <w:rPr>
                <w:rFonts w:ascii="Times New Roman" w:eastAsia="Times New Roman" w:hAnsi="Times New Roman" w:cs="Times New Roman"/>
                <w:lang w:eastAsia="ru-RU"/>
              </w:rPr>
              <w:t xml:space="preserve">[1] </w:t>
            </w:r>
            <w:r w:rsidRPr="007020C2">
              <w:rPr>
                <w:rFonts w:ascii="Times New Roman" w:hAnsi="Times New Roman" w:cs="Times New Roman"/>
                <w:sz w:val="24"/>
                <w:szCs w:val="24"/>
              </w:rPr>
              <w:t>(см. раздел I, подраздел 1, п.1.7).</w:t>
            </w:r>
          </w:p>
        </w:tc>
      </w:tr>
      <w:tr w:rsidR="000A29B0" w:rsidRPr="007020C2" w:rsidTr="006B3DE9">
        <w:trPr>
          <w:trHeight w:val="210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tbl>
            <w:tblPr>
              <w:tblStyle w:val="a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5"/>
              <w:gridCol w:w="1448"/>
              <w:gridCol w:w="532"/>
              <w:gridCol w:w="225"/>
              <w:gridCol w:w="944"/>
              <w:gridCol w:w="526"/>
              <w:gridCol w:w="510"/>
              <w:gridCol w:w="1185"/>
              <w:gridCol w:w="562"/>
            </w:tblGrid>
            <w:tr w:rsidR="000A29B0" w:rsidRPr="007020C2" w:rsidTr="007E35EB">
              <w:trPr>
                <w:trHeight w:val="221"/>
              </w:trPr>
              <w:tc>
                <w:tcPr>
                  <w:tcW w:w="6487" w:type="dxa"/>
                  <w:gridSpan w:val="9"/>
                </w:tcPr>
                <w:p w:rsidR="000A29B0" w:rsidRPr="007020C2" w:rsidRDefault="000A29B0" w:rsidP="007E35EB">
                  <w:pPr>
                    <w:spacing w:line="240" w:lineRule="auto"/>
                    <w:rPr>
                      <w:szCs w:val="24"/>
                    </w:rPr>
                  </w:pPr>
                  <w:r w:rsidRPr="007020C2">
                    <w:rPr>
                      <w:szCs w:val="24"/>
                      <w:lang w:val="en-US"/>
                    </w:rPr>
                    <w:t>Y</w:t>
                  </w:r>
                </w:p>
              </w:tc>
            </w:tr>
            <w:tr w:rsidR="000A29B0" w:rsidRPr="007020C2" w:rsidTr="007E35EB">
              <w:trPr>
                <w:trHeight w:val="510"/>
              </w:trPr>
              <w:tc>
                <w:tcPr>
                  <w:tcW w:w="555" w:type="dxa"/>
                </w:tcPr>
                <w:p w:rsidR="000A29B0" w:rsidRPr="007020C2" w:rsidRDefault="000A29B0" w:rsidP="007E35EB">
                  <w:pPr>
                    <w:spacing w:line="240" w:lineRule="auto"/>
                    <w:rPr>
                      <w:szCs w:val="24"/>
                    </w:rPr>
                  </w:pPr>
                </w:p>
              </w:tc>
              <w:tc>
                <w:tcPr>
                  <w:tcW w:w="1448" w:type="dxa"/>
                  <w:shd w:val="clear" w:color="auto" w:fill="D9D9D9" w:themeFill="background1" w:themeFillShade="D9"/>
                </w:tcPr>
                <w:p w:rsidR="000A29B0" w:rsidRPr="007020C2" w:rsidRDefault="000A29B0" w:rsidP="007E35EB">
                  <w:pPr>
                    <w:spacing w:line="240" w:lineRule="auto"/>
                    <w:ind w:left="-25"/>
                    <w:rPr>
                      <w:szCs w:val="24"/>
                    </w:rPr>
                  </w:pPr>
                  <w:r w:rsidRPr="007020C2">
                    <w:rPr>
                      <w:szCs w:val="24"/>
                      <w:lang w:val="en-US"/>
                    </w:rPr>
                    <w:t>Li</w:t>
                  </w:r>
                </w:p>
                <w:p w:rsidR="000A29B0" w:rsidRPr="007020C2" w:rsidRDefault="000A29B0" w:rsidP="007E35EB">
                  <w:pPr>
                    <w:spacing w:line="240" w:lineRule="auto"/>
                    <w:ind w:left="-25"/>
                    <w:rPr>
                      <w:szCs w:val="24"/>
                    </w:rPr>
                  </w:pPr>
                </w:p>
              </w:tc>
              <w:tc>
                <w:tcPr>
                  <w:tcW w:w="532" w:type="dxa"/>
                  <w:vAlign w:val="center"/>
                </w:tcPr>
                <w:p w:rsidR="000A29B0" w:rsidRPr="007020C2" w:rsidRDefault="000A29B0" w:rsidP="007E35EB">
                  <w:pPr>
                    <w:spacing w:line="240" w:lineRule="auto"/>
                    <w:ind w:left="-70" w:hanging="38"/>
                    <w:rPr>
                      <w:szCs w:val="24"/>
                    </w:rPr>
                  </w:pPr>
                  <w:r w:rsidRPr="007020C2">
                    <w:rPr>
                      <w:szCs w:val="24"/>
                      <w:lang w:val="en-US"/>
                    </w:rPr>
                    <w:t>h</w:t>
                  </w:r>
                </w:p>
              </w:tc>
              <w:tc>
                <w:tcPr>
                  <w:tcW w:w="1695" w:type="dxa"/>
                  <w:gridSpan w:val="3"/>
                  <w:shd w:val="clear" w:color="auto" w:fill="D9D9D9" w:themeFill="background1" w:themeFillShade="D9"/>
                </w:tcPr>
                <w:p w:rsidR="000A29B0" w:rsidRPr="007020C2" w:rsidRDefault="000A29B0" w:rsidP="007E35EB">
                  <w:pPr>
                    <w:spacing w:line="240" w:lineRule="auto"/>
                    <w:rPr>
                      <w:szCs w:val="24"/>
                    </w:rPr>
                  </w:pPr>
                </w:p>
              </w:tc>
              <w:tc>
                <w:tcPr>
                  <w:tcW w:w="510" w:type="dxa"/>
                </w:tcPr>
                <w:p w:rsidR="000A29B0" w:rsidRPr="007020C2" w:rsidRDefault="000A29B0" w:rsidP="007E35EB">
                  <w:pPr>
                    <w:spacing w:line="240" w:lineRule="auto"/>
                    <w:rPr>
                      <w:szCs w:val="24"/>
                    </w:rPr>
                  </w:pPr>
                </w:p>
              </w:tc>
              <w:tc>
                <w:tcPr>
                  <w:tcW w:w="1185" w:type="dxa"/>
                  <w:shd w:val="clear" w:color="auto" w:fill="D9D9D9" w:themeFill="background1" w:themeFillShade="D9"/>
                </w:tcPr>
                <w:p w:rsidR="000A29B0" w:rsidRPr="007020C2" w:rsidRDefault="000A29B0" w:rsidP="007E35EB">
                  <w:pPr>
                    <w:spacing w:line="240" w:lineRule="auto"/>
                    <w:rPr>
                      <w:szCs w:val="24"/>
                    </w:rPr>
                  </w:pPr>
                </w:p>
              </w:tc>
              <w:tc>
                <w:tcPr>
                  <w:tcW w:w="562" w:type="dxa"/>
                </w:tcPr>
                <w:p w:rsidR="000A29B0" w:rsidRPr="007020C2" w:rsidRDefault="000A29B0" w:rsidP="007E35EB">
                  <w:pPr>
                    <w:spacing w:line="240" w:lineRule="auto"/>
                    <w:rPr>
                      <w:szCs w:val="24"/>
                    </w:rPr>
                  </w:pPr>
                </w:p>
              </w:tc>
            </w:tr>
            <w:tr w:rsidR="000A29B0" w:rsidRPr="007020C2" w:rsidTr="007E35EB">
              <w:trPr>
                <w:trHeight w:val="1170"/>
              </w:trPr>
              <w:tc>
                <w:tcPr>
                  <w:tcW w:w="6487" w:type="dxa"/>
                  <w:gridSpan w:val="9"/>
                </w:tcPr>
                <w:p w:rsidR="000A29B0" w:rsidRPr="007020C2" w:rsidRDefault="000A29B0" w:rsidP="007E35EB">
                  <w:pPr>
                    <w:spacing w:line="240" w:lineRule="auto"/>
                    <w:rPr>
                      <w:bCs/>
                      <w:szCs w:val="24"/>
                    </w:rPr>
                  </w:pPr>
                </w:p>
                <w:p w:rsidR="000A29B0" w:rsidRPr="007020C2" w:rsidRDefault="000A29B0" w:rsidP="007E35EB">
                  <w:pPr>
                    <w:spacing w:line="240" w:lineRule="auto"/>
                    <w:rPr>
                      <w:bCs/>
                      <w:szCs w:val="24"/>
                    </w:rPr>
                  </w:pPr>
                </w:p>
                <w:p w:rsidR="000A29B0" w:rsidRPr="007020C2" w:rsidRDefault="000A29B0" w:rsidP="007E35EB">
                  <w:pPr>
                    <w:spacing w:line="240" w:lineRule="auto"/>
                    <w:ind w:firstLine="25"/>
                    <w:rPr>
                      <w:bCs/>
                      <w:szCs w:val="24"/>
                    </w:rPr>
                  </w:pPr>
                  <w:r w:rsidRPr="007020C2">
                    <w:rPr>
                      <w:bCs/>
                      <w:szCs w:val="24"/>
                    </w:rPr>
                    <w:t>Х</w:t>
                  </w:r>
                </w:p>
                <w:p w:rsidR="000A29B0" w:rsidRPr="007020C2" w:rsidRDefault="000A29B0" w:rsidP="007E35EB">
                  <w:pPr>
                    <w:spacing w:line="240" w:lineRule="auto"/>
                    <w:rPr>
                      <w:szCs w:val="24"/>
                    </w:rPr>
                  </w:pPr>
                </w:p>
              </w:tc>
            </w:tr>
            <w:tr w:rsidR="000A29B0" w:rsidRPr="007020C2" w:rsidTr="007E35EB">
              <w:trPr>
                <w:trHeight w:val="763"/>
              </w:trPr>
              <w:tc>
                <w:tcPr>
                  <w:tcW w:w="555" w:type="dxa"/>
                </w:tcPr>
                <w:p w:rsidR="000A29B0" w:rsidRPr="007020C2" w:rsidRDefault="000A29B0" w:rsidP="007E35EB">
                  <w:pPr>
                    <w:spacing w:line="240" w:lineRule="auto"/>
                    <w:rPr>
                      <w:szCs w:val="24"/>
                    </w:rPr>
                  </w:pPr>
                </w:p>
              </w:tc>
              <w:tc>
                <w:tcPr>
                  <w:tcW w:w="2205" w:type="dxa"/>
                  <w:gridSpan w:val="3"/>
                  <w:shd w:val="clear" w:color="auto" w:fill="D9D9D9" w:themeFill="background1" w:themeFillShade="D9"/>
                </w:tcPr>
                <w:p w:rsidR="000A29B0" w:rsidRPr="007020C2" w:rsidRDefault="000A29B0" w:rsidP="007E35EB">
                  <w:pPr>
                    <w:spacing w:line="240" w:lineRule="auto"/>
                    <w:rPr>
                      <w:szCs w:val="24"/>
                    </w:rPr>
                  </w:pPr>
                </w:p>
              </w:tc>
              <w:tc>
                <w:tcPr>
                  <w:tcW w:w="944" w:type="dxa"/>
                </w:tcPr>
                <w:p w:rsidR="000A29B0" w:rsidRPr="007020C2" w:rsidRDefault="000A29B0" w:rsidP="007E35EB">
                  <w:pPr>
                    <w:spacing w:line="240" w:lineRule="auto"/>
                    <w:rPr>
                      <w:szCs w:val="24"/>
                    </w:rPr>
                  </w:pPr>
                </w:p>
              </w:tc>
              <w:tc>
                <w:tcPr>
                  <w:tcW w:w="2221" w:type="dxa"/>
                  <w:gridSpan w:val="3"/>
                  <w:shd w:val="clear" w:color="auto" w:fill="D9D9D9" w:themeFill="background1" w:themeFillShade="D9"/>
                </w:tcPr>
                <w:p w:rsidR="000A29B0" w:rsidRPr="007020C2" w:rsidRDefault="000A29B0" w:rsidP="007E35EB">
                  <w:pPr>
                    <w:spacing w:line="240" w:lineRule="auto"/>
                    <w:rPr>
                      <w:szCs w:val="24"/>
                    </w:rPr>
                  </w:pPr>
                </w:p>
              </w:tc>
              <w:tc>
                <w:tcPr>
                  <w:tcW w:w="562" w:type="dxa"/>
                </w:tcPr>
                <w:p w:rsidR="000A29B0" w:rsidRPr="007020C2" w:rsidRDefault="000A29B0" w:rsidP="007E35EB">
                  <w:pPr>
                    <w:spacing w:line="240" w:lineRule="auto"/>
                    <w:rPr>
                      <w:szCs w:val="24"/>
                    </w:rPr>
                  </w:pPr>
                </w:p>
              </w:tc>
            </w:tr>
            <w:tr w:rsidR="000A29B0" w:rsidRPr="007020C2" w:rsidTr="007E35EB">
              <w:trPr>
                <w:trHeight w:val="264"/>
              </w:trPr>
              <w:tc>
                <w:tcPr>
                  <w:tcW w:w="6487" w:type="dxa"/>
                  <w:gridSpan w:val="9"/>
                </w:tcPr>
                <w:p w:rsidR="000A29B0" w:rsidRPr="007020C2" w:rsidRDefault="000A29B0" w:rsidP="007E35EB">
                  <w:pPr>
                    <w:spacing w:line="240" w:lineRule="auto"/>
                    <w:rPr>
                      <w:szCs w:val="24"/>
                    </w:rPr>
                  </w:pPr>
                </w:p>
              </w:tc>
            </w:tr>
          </w:tbl>
          <w:p w:rsidR="000A29B0" w:rsidRPr="007020C2" w:rsidRDefault="000A29B0" w:rsidP="000A29B0">
            <w:pPr>
              <w:spacing w:line="240" w:lineRule="auto"/>
              <w:ind w:left="2968"/>
              <w:rPr>
                <w:rFonts w:ascii="Times New Roman" w:hAnsi="Times New Roman" w:cs="Times New Roman"/>
                <w:szCs w:val="24"/>
              </w:rPr>
            </w:pPr>
            <w:r w:rsidRPr="007020C2">
              <w:rPr>
                <w:rFonts w:ascii="Times New Roman" w:hAnsi="Times New Roman" w:cs="Times New Roman"/>
                <w:szCs w:val="24"/>
              </w:rPr>
              <w:t>Рис.1</w:t>
            </w:r>
          </w:p>
          <w:p w:rsidR="000A29B0" w:rsidRPr="007020C2" w:rsidRDefault="000A29B0" w:rsidP="00E0767B">
            <w:pPr>
              <w:spacing w:after="100" w:line="240" w:lineRule="auto"/>
              <w:ind w:left="34" w:firstLine="238"/>
              <w:rPr>
                <w:rFonts w:ascii="Times New Roman" w:hAnsi="Times New Roman" w:cs="Times New Roman"/>
                <w:szCs w:val="24"/>
              </w:rPr>
            </w:pPr>
            <w:r w:rsidRPr="007020C2">
              <w:rPr>
                <w:rFonts w:ascii="Times New Roman" w:hAnsi="Times New Roman" w:cs="Times New Roman"/>
                <w:szCs w:val="24"/>
              </w:rPr>
              <w:t>В случае строчной компоновки зданий в прямоугольном квартале Х</w:t>
            </w:r>
            <w:r w:rsidRPr="007020C2">
              <w:rPr>
                <w:rFonts w:ascii="Times New Roman" w:hAnsi="Times New Roman" w:cs="Times New Roman"/>
                <w:bCs/>
                <w:szCs w:val="24"/>
              </w:rPr>
              <w:t>×</w:t>
            </w:r>
            <w:r w:rsidRPr="007020C2">
              <w:rPr>
                <w:rFonts w:ascii="Times New Roman" w:hAnsi="Times New Roman" w:cs="Times New Roman"/>
                <w:bCs/>
                <w:szCs w:val="24"/>
                <w:lang w:val="en-US"/>
              </w:rPr>
              <w:t>Y</w:t>
            </w:r>
            <w:r w:rsidRPr="007020C2">
              <w:rPr>
                <w:rFonts w:ascii="Times New Roman" w:hAnsi="Times New Roman" w:cs="Times New Roman"/>
                <w:szCs w:val="24"/>
              </w:rPr>
              <w:t xml:space="preserve">, изображенной на рисунке 1 (количество строк </w:t>
            </w:r>
            <w:r w:rsidRPr="007020C2">
              <w:rPr>
                <w:rFonts w:ascii="Times New Roman" w:hAnsi="Times New Roman" w:cs="Times New Roman"/>
                <w:bCs/>
                <w:szCs w:val="24"/>
                <w:lang w:val="en-US"/>
              </w:rPr>
              <w:t>m</w:t>
            </w:r>
            <w:r w:rsidRPr="007020C2">
              <w:rPr>
                <w:rFonts w:ascii="Times New Roman" w:hAnsi="Times New Roman" w:cs="Times New Roman"/>
                <w:bCs/>
                <w:szCs w:val="24"/>
              </w:rPr>
              <w:t>=2)</w:t>
            </w:r>
            <w:r w:rsidRPr="007020C2">
              <w:rPr>
                <w:rFonts w:ascii="Times New Roman" w:hAnsi="Times New Roman" w:cs="Times New Roman"/>
                <w:szCs w:val="24"/>
              </w:rPr>
              <w:t xml:space="preserve">, когда все здания с длинами </w:t>
            </w:r>
            <w:r w:rsidRPr="007020C2">
              <w:rPr>
                <w:rFonts w:ascii="Times New Roman" w:hAnsi="Times New Roman" w:cs="Times New Roman"/>
                <w:szCs w:val="24"/>
                <w:lang w:val="en-US"/>
              </w:rPr>
              <w:t>Li</w:t>
            </w:r>
            <w:r w:rsidRPr="007020C2">
              <w:rPr>
                <w:rFonts w:ascii="Times New Roman" w:hAnsi="Times New Roman" w:cs="Times New Roman"/>
                <w:szCs w:val="24"/>
              </w:rPr>
              <w:t xml:space="preserve">одинаковой шириной </w:t>
            </w:r>
            <w:r w:rsidRPr="007020C2">
              <w:rPr>
                <w:rFonts w:ascii="Times New Roman" w:hAnsi="Times New Roman" w:cs="Times New Roman"/>
                <w:szCs w:val="24"/>
                <w:lang w:val="en-US"/>
              </w:rPr>
              <w:t>h</w:t>
            </w:r>
            <w:r w:rsidRPr="007020C2">
              <w:rPr>
                <w:rFonts w:ascii="Times New Roman" w:hAnsi="Times New Roman" w:cs="Times New Roman"/>
                <w:szCs w:val="24"/>
              </w:rPr>
              <w:t xml:space="preserve"> расположены вдоль стороны (торцами к стороне Х), площадь застройки </w:t>
            </w:r>
            <w:r w:rsidRPr="007020C2">
              <w:rPr>
                <w:rFonts w:ascii="Times New Roman" w:hAnsi="Times New Roman" w:cs="Times New Roman"/>
                <w:bCs/>
                <w:szCs w:val="24"/>
              </w:rPr>
              <w:t>Sз</w:t>
            </w:r>
            <w:r w:rsidRPr="007020C2">
              <w:rPr>
                <w:rFonts w:ascii="Times New Roman" w:hAnsi="Times New Roman" w:cs="Times New Roman"/>
                <w:szCs w:val="24"/>
              </w:rPr>
              <w:t xml:space="preserve"> определяется по формуле:</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lang w:val="en-US"/>
              </w:rPr>
              <w:t>S</w:t>
            </w:r>
            <w:r w:rsidRPr="007020C2">
              <w:rPr>
                <w:rFonts w:ascii="Times New Roman" w:hAnsi="Times New Roman" w:cs="Times New Roman"/>
                <w:bCs/>
                <w:szCs w:val="24"/>
              </w:rPr>
              <w:t xml:space="preserve">з = </w:t>
            </w:r>
            <w:r w:rsidRPr="007020C2">
              <w:rPr>
                <w:rFonts w:ascii="Times New Roman" w:hAnsi="Times New Roman" w:cs="Times New Roman"/>
                <w:bCs/>
                <w:szCs w:val="24"/>
                <w:lang w:val="en-US"/>
              </w:rPr>
              <w:t>h</w:t>
            </w:r>
            <w:r w:rsidRPr="007020C2">
              <w:rPr>
                <w:rFonts w:ascii="Times New Roman" w:hAnsi="Times New Roman" w:cs="Times New Roman"/>
                <w:bCs/>
                <w:szCs w:val="24"/>
              </w:rPr>
              <w:t xml:space="preserve"> × Σ </w:t>
            </w:r>
            <w:r w:rsidRPr="007020C2">
              <w:rPr>
                <w:rFonts w:ascii="Times New Roman" w:hAnsi="Times New Roman" w:cs="Times New Roman"/>
                <w:szCs w:val="24"/>
                <w:lang w:val="en-US"/>
              </w:rPr>
              <w:t>Li</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h</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Y</w:t>
            </w:r>
            <w:r w:rsidRPr="007020C2">
              <w:rPr>
                <w:rFonts w:ascii="Times New Roman" w:hAnsi="Times New Roman" w:cs="Times New Roman"/>
                <w:bCs/>
                <w:szCs w:val="24"/>
              </w:rPr>
              <w:t xml:space="preserve">× Кп, </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rPr>
              <w:t xml:space="preserve">где коэффициент непрерывности строчной застройки Кп рассчитывается  по формуле Кп = Σ </w:t>
            </w:r>
            <w:r w:rsidRPr="007020C2">
              <w:rPr>
                <w:rFonts w:ascii="Times New Roman" w:hAnsi="Times New Roman" w:cs="Times New Roman"/>
                <w:szCs w:val="24"/>
                <w:lang w:val="en-US"/>
              </w:rPr>
              <w:t>Li</w:t>
            </w:r>
            <w:r w:rsidRPr="007020C2">
              <w:rPr>
                <w:rFonts w:ascii="Times New Roman" w:hAnsi="Times New Roman" w:cs="Times New Roman"/>
                <w:bCs/>
                <w:szCs w:val="24"/>
              </w:rPr>
              <w:t>/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Y</w:t>
            </w:r>
            <w:r w:rsidRPr="007020C2">
              <w:rPr>
                <w:rFonts w:ascii="Times New Roman" w:hAnsi="Times New Roman" w:cs="Times New Roman"/>
                <w:bCs/>
                <w:szCs w:val="24"/>
              </w:rPr>
              <w:t>).</w:t>
            </w:r>
          </w:p>
          <w:p w:rsidR="000A29B0" w:rsidRPr="007020C2" w:rsidRDefault="000A29B0" w:rsidP="00E0767B">
            <w:pPr>
              <w:spacing w:after="100" w:line="240" w:lineRule="auto"/>
              <w:ind w:left="34" w:firstLine="238"/>
              <w:rPr>
                <w:rFonts w:ascii="Times New Roman" w:hAnsi="Times New Roman" w:cs="Times New Roman"/>
                <w:szCs w:val="24"/>
              </w:rPr>
            </w:pPr>
            <w:r w:rsidRPr="007020C2">
              <w:rPr>
                <w:rFonts w:ascii="Times New Roman" w:hAnsi="Times New Roman" w:cs="Times New Roman"/>
                <w:szCs w:val="24"/>
              </w:rPr>
              <w:t xml:space="preserve">Вместе с тем площадь застройки </w:t>
            </w:r>
            <w:r w:rsidRPr="007020C2">
              <w:rPr>
                <w:rFonts w:ascii="Times New Roman" w:hAnsi="Times New Roman" w:cs="Times New Roman"/>
                <w:bCs/>
                <w:szCs w:val="24"/>
              </w:rPr>
              <w:t>Sз зависит от площади квартала S и коэффициента застройки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w:t>
            </w:r>
          </w:p>
          <w:p w:rsidR="000A29B0" w:rsidRPr="007020C2" w:rsidRDefault="000A29B0" w:rsidP="00E0767B">
            <w:pPr>
              <w:spacing w:after="100" w:line="240" w:lineRule="auto"/>
              <w:ind w:left="34" w:firstLine="238"/>
              <w:rPr>
                <w:rFonts w:ascii="Times New Roman" w:hAnsi="Times New Roman" w:cs="Times New Roman"/>
                <w:szCs w:val="24"/>
              </w:rPr>
            </w:pPr>
            <w:r w:rsidRPr="007020C2">
              <w:rPr>
                <w:rFonts w:ascii="Times New Roman" w:hAnsi="Times New Roman" w:cs="Times New Roman"/>
                <w:bCs/>
                <w:szCs w:val="24"/>
              </w:rPr>
              <w:t>Sз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/100%)</w:t>
            </w:r>
            <w:r w:rsidRPr="007020C2">
              <w:rPr>
                <w:rFonts w:ascii="Times New Roman" w:hAnsi="Times New Roman" w:cs="Times New Roman"/>
                <w:bCs/>
                <w:szCs w:val="24"/>
              </w:rPr>
              <w:t xml:space="preserve"> × Sз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 xml:space="preserve"> /100%)</w:t>
            </w:r>
            <w:r w:rsidRPr="007020C2">
              <w:rPr>
                <w:rFonts w:ascii="Times New Roman" w:hAnsi="Times New Roman" w:cs="Times New Roman"/>
                <w:bCs/>
                <w:szCs w:val="24"/>
              </w:rPr>
              <w:t xml:space="preserve"> × (X×Y).</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rPr>
              <w:t xml:space="preserve">Из равенства обоих выражений для </w:t>
            </w:r>
            <w:r w:rsidRPr="007020C2">
              <w:rPr>
                <w:rFonts w:ascii="Times New Roman" w:hAnsi="Times New Roman" w:cs="Times New Roman"/>
                <w:bCs/>
                <w:szCs w:val="24"/>
                <w:lang w:val="en-US"/>
              </w:rPr>
              <w:t>S</w:t>
            </w:r>
            <w:r w:rsidRPr="007020C2">
              <w:rPr>
                <w:rFonts w:ascii="Times New Roman" w:hAnsi="Times New Roman" w:cs="Times New Roman"/>
                <w:bCs/>
                <w:szCs w:val="24"/>
              </w:rPr>
              <w:t xml:space="preserve">з </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lang w:val="en-US"/>
              </w:rPr>
              <w:t>h</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Y</w:t>
            </w:r>
            <w:r w:rsidRPr="007020C2">
              <w:rPr>
                <w:rFonts w:ascii="Times New Roman" w:hAnsi="Times New Roman" w:cs="Times New Roman"/>
                <w:bCs/>
                <w:szCs w:val="24"/>
              </w:rPr>
              <w:t>× Кп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 xml:space="preserve"> /100%)</w:t>
            </w:r>
            <w:r w:rsidRPr="007020C2">
              <w:rPr>
                <w:rFonts w:ascii="Times New Roman" w:hAnsi="Times New Roman" w:cs="Times New Roman"/>
                <w:bCs/>
                <w:szCs w:val="24"/>
              </w:rPr>
              <w:t xml:space="preserve"> × (X×Y)</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rPr>
              <w:t>выводится формула для расчета глубины квартала Х:</w:t>
            </w:r>
          </w:p>
          <w:p w:rsidR="000A29B0" w:rsidRPr="007020C2" w:rsidRDefault="000A29B0" w:rsidP="000A29B0">
            <w:pPr>
              <w:spacing w:line="240" w:lineRule="auto"/>
              <w:ind w:left="34" w:firstLine="241"/>
              <w:rPr>
                <w:rFonts w:ascii="Times New Roman" w:hAnsi="Times New Roman" w:cs="Times New Roman"/>
                <w:bCs/>
                <w:szCs w:val="24"/>
              </w:rPr>
            </w:pPr>
            <w:r w:rsidRPr="007020C2">
              <w:rPr>
                <w:rFonts w:ascii="Times New Roman" w:hAnsi="Times New Roman" w:cs="Times New Roman"/>
                <w:bCs/>
                <w:szCs w:val="24"/>
              </w:rPr>
              <w:t xml:space="preserve">Х =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h × Кп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bCs/>
                <w:szCs w:val="24"/>
              </w:rPr>
              <w:t xml:space="preserve"> /100%).</w:t>
            </w:r>
          </w:p>
          <w:p w:rsidR="000A29B0" w:rsidRPr="007020C2" w:rsidRDefault="000A29B0" w:rsidP="006B3DE9">
            <w:pPr>
              <w:spacing w:after="0" w:line="240" w:lineRule="auto"/>
              <w:ind w:firstLine="238"/>
              <w:rPr>
                <w:rFonts w:ascii="Times New Roman" w:hAnsi="Times New Roman" w:cs="Times New Roman"/>
                <w:szCs w:val="24"/>
              </w:rPr>
            </w:pPr>
            <w:r w:rsidRPr="007020C2">
              <w:rPr>
                <w:rFonts w:ascii="Times New Roman" w:hAnsi="Times New Roman" w:cs="Times New Roman"/>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0A29B0" w:rsidRPr="007020C2" w:rsidTr="006B3DE9">
        <w:trPr>
          <w:trHeight w:val="7492"/>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2.1.12</w:t>
            </w:r>
          </w:p>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2.1.13</w:t>
            </w:r>
          </w:p>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0A29B0" w:rsidRPr="007020C2" w:rsidRDefault="000A29B0" w:rsidP="00E0767B">
            <w:pPr>
              <w:spacing w:line="240" w:lineRule="auto"/>
              <w:ind w:left="34" w:firstLine="241"/>
              <w:jc w:val="both"/>
              <w:rPr>
                <w:rFonts w:ascii="Times New Roman" w:hAnsi="Times New Roman" w:cs="Times New Roman"/>
              </w:rPr>
            </w:pPr>
            <w:r w:rsidRPr="007020C2">
              <w:rPr>
                <w:rFonts w:ascii="Times New Roman" w:hAnsi="Times New Roman" w:cs="Times New Roman"/>
                <w:bCs/>
              </w:rPr>
              <w:t xml:space="preserve">Формула зависимости минимального размера квартала прямоугольной формы с шириной Х, длиной  Y = r × X  (r&gt;=1)  и площадью  S = X × Y от </w:t>
            </w:r>
            <w:r w:rsidRPr="007020C2">
              <w:rPr>
                <w:rFonts w:ascii="Times New Roman" w:hAnsi="Times New Roman" w:cs="Times New Roman"/>
              </w:rPr>
              <w:t xml:space="preserve">максимального коэффициента застройки квартала </w:t>
            </w:r>
            <w:r w:rsidRPr="007020C2">
              <w:rPr>
                <w:rFonts w:ascii="Times New Roman" w:hAnsi="Times New Roman" w:cs="Times New Roman"/>
                <w:bCs/>
              </w:rPr>
              <w:t>Кз</w:t>
            </w:r>
            <w:r w:rsidRPr="007020C2">
              <w:rPr>
                <w:rFonts w:ascii="Times New Roman" w:hAnsi="Times New Roman" w:cs="Times New Roman"/>
                <w:bCs/>
                <w:vertAlign w:val="superscript"/>
                <w:lang w:val="en-US"/>
              </w:rPr>
              <w:t>max</w:t>
            </w:r>
            <w:r w:rsidRPr="007020C2">
              <w:rPr>
                <w:rFonts w:ascii="Times New Roman" w:hAnsi="Times New Roman" w:cs="Times New Roman"/>
              </w:rPr>
              <w:t xml:space="preserve">, средней ширины зданий в квартале </w:t>
            </w:r>
            <w:r w:rsidRPr="007020C2">
              <w:rPr>
                <w:rFonts w:ascii="Times New Roman" w:hAnsi="Times New Roman" w:cs="Times New Roman"/>
                <w:lang w:val="en-US"/>
              </w:rPr>
              <w:t>h</w:t>
            </w:r>
            <w:r w:rsidRPr="007020C2">
              <w:rPr>
                <w:rFonts w:ascii="Times New Roman" w:hAnsi="Times New Roman" w:cs="Times New Roman"/>
              </w:rPr>
              <w:t xml:space="preserve"> (</w:t>
            </w:r>
            <w:r w:rsidRPr="007020C2">
              <w:rPr>
                <w:rFonts w:ascii="Times New Roman" w:hAnsi="Times New Roman" w:cs="Times New Roman"/>
                <w:lang w:val="en-US"/>
              </w:rPr>
              <w:t>h</w:t>
            </w:r>
            <w:r w:rsidRPr="007020C2">
              <w:rPr>
                <w:rFonts w:ascii="Times New Roman" w:hAnsi="Times New Roman" w:cs="Times New Roman"/>
              </w:rPr>
              <w:t xml:space="preserve">&lt;Х/2) и </w:t>
            </w:r>
            <w:r w:rsidRPr="007020C2">
              <w:rPr>
                <w:rFonts w:ascii="Times New Roman" w:hAnsi="Times New Roman" w:cs="Times New Roman"/>
                <w:bCs/>
              </w:rPr>
              <w:t>коэффициента непрерывности</w:t>
            </w:r>
            <w:r w:rsidRPr="007020C2">
              <w:rPr>
                <w:rFonts w:ascii="Times New Roman" w:hAnsi="Times New Roman" w:cs="Times New Roman"/>
              </w:rPr>
              <w:t xml:space="preserve"> периметральной застройки Кп получена </w:t>
            </w:r>
            <w:r w:rsidRPr="007020C2">
              <w:rPr>
                <w:rFonts w:ascii="Times New Roman" w:hAnsi="Times New Roman" w:cs="Times New Roman"/>
                <w:bCs/>
              </w:rPr>
              <w:t xml:space="preserve">в результате решения квадратного уравнения  </w:t>
            </w:r>
            <w:r w:rsidRPr="007020C2">
              <w:rPr>
                <w:rFonts w:ascii="Times New Roman" w:hAnsi="Times New Roman" w:cs="Times New Roman"/>
              </w:rPr>
              <w:t>а</w:t>
            </w:r>
            <w:r w:rsidRPr="007020C2">
              <w:rPr>
                <w:rFonts w:ascii="Times New Roman" w:hAnsi="Times New Roman" w:cs="Times New Roman"/>
                <w:bCs/>
              </w:rPr>
              <w:t>×</w:t>
            </w:r>
            <w:r w:rsidRPr="007020C2">
              <w:rPr>
                <w:rFonts w:ascii="Times New Roman" w:hAnsi="Times New Roman" w:cs="Times New Roman"/>
              </w:rPr>
              <w:t>Х</w:t>
            </w:r>
            <w:r w:rsidRPr="007020C2">
              <w:rPr>
                <w:rFonts w:ascii="Times New Roman" w:hAnsi="Times New Roman" w:cs="Times New Roman"/>
                <w:vertAlign w:val="superscript"/>
              </w:rPr>
              <w:t xml:space="preserve">2 </w:t>
            </w:r>
            <w:r w:rsidRPr="007020C2">
              <w:rPr>
                <w:rFonts w:ascii="Times New Roman" w:hAnsi="Times New Roman" w:cs="Times New Roman"/>
              </w:rPr>
              <w:t xml:space="preserve">+ </w:t>
            </w:r>
            <w:r w:rsidRPr="007020C2">
              <w:rPr>
                <w:rFonts w:ascii="Times New Roman" w:hAnsi="Times New Roman" w:cs="Times New Roman"/>
                <w:lang w:val="en-US"/>
              </w:rPr>
              <w:t>b</w:t>
            </w:r>
            <w:r w:rsidRPr="007020C2">
              <w:rPr>
                <w:rFonts w:ascii="Times New Roman" w:hAnsi="Times New Roman" w:cs="Times New Roman"/>
                <w:bCs/>
              </w:rPr>
              <w:t>×</w:t>
            </w:r>
            <w:r w:rsidRPr="007020C2">
              <w:rPr>
                <w:rFonts w:ascii="Times New Roman" w:hAnsi="Times New Roman" w:cs="Times New Roman"/>
              </w:rPr>
              <w:t xml:space="preserve">Х + с = 0, математически описывающего соотношения между перечисленными параметрами. </w:t>
            </w:r>
          </w:p>
          <w:tbl>
            <w:tblPr>
              <w:tblStyle w:val="a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4"/>
              <w:gridCol w:w="5386"/>
              <w:gridCol w:w="567"/>
            </w:tblGrid>
            <w:tr w:rsidR="000A29B0" w:rsidRPr="007020C2" w:rsidTr="007E35EB">
              <w:trPr>
                <w:trHeight w:val="557"/>
              </w:trPr>
              <w:tc>
                <w:tcPr>
                  <w:tcW w:w="5920" w:type="dxa"/>
                  <w:gridSpan w:val="2"/>
                  <w:shd w:val="clear" w:color="auto" w:fill="D9D9D9" w:themeFill="background1" w:themeFillShade="D9"/>
                </w:tcPr>
                <w:p w:rsidR="000A29B0" w:rsidRPr="007020C2" w:rsidRDefault="000A29B0" w:rsidP="007E35EB">
                  <w:pPr>
                    <w:spacing w:line="240" w:lineRule="auto"/>
                    <w:rPr>
                      <w:sz w:val="22"/>
                      <w:szCs w:val="22"/>
                    </w:rPr>
                  </w:pPr>
                  <w:r w:rsidRPr="007020C2">
                    <w:rPr>
                      <w:sz w:val="22"/>
                      <w:szCs w:val="22"/>
                      <w:lang w:val="en-US"/>
                    </w:rPr>
                    <w:t>Y</w:t>
                  </w:r>
                </w:p>
              </w:tc>
              <w:tc>
                <w:tcPr>
                  <w:tcW w:w="567" w:type="dxa"/>
                  <w:vMerge w:val="restart"/>
                  <w:shd w:val="clear" w:color="auto" w:fill="D9D9D9" w:themeFill="background1" w:themeFillShade="D9"/>
                </w:tcPr>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r w:rsidRPr="007020C2">
                    <w:rPr>
                      <w:sz w:val="22"/>
                      <w:szCs w:val="22"/>
                      <w:lang w:val="en-US"/>
                    </w:rPr>
                    <w:t>h</w:t>
                  </w:r>
                </w:p>
              </w:tc>
            </w:tr>
            <w:tr w:rsidR="000A29B0" w:rsidRPr="007020C2" w:rsidTr="007E35EB">
              <w:trPr>
                <w:trHeight w:val="2404"/>
              </w:trPr>
              <w:tc>
                <w:tcPr>
                  <w:tcW w:w="534" w:type="dxa"/>
                  <w:vMerge w:val="restart"/>
                  <w:shd w:val="clear" w:color="auto" w:fill="D9D9D9" w:themeFill="background1" w:themeFillShade="D9"/>
                </w:tcPr>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left="-89" w:firstLine="0"/>
                    <w:rPr>
                      <w:sz w:val="22"/>
                      <w:szCs w:val="22"/>
                    </w:rPr>
                  </w:pPr>
                  <w:r w:rsidRPr="007020C2">
                    <w:rPr>
                      <w:bCs/>
                      <w:sz w:val="22"/>
                      <w:szCs w:val="22"/>
                    </w:rPr>
                    <w:t xml:space="preserve"> Х</w:t>
                  </w:r>
                </w:p>
              </w:tc>
              <w:tc>
                <w:tcPr>
                  <w:tcW w:w="5386" w:type="dxa"/>
                </w:tcPr>
                <w:p w:rsidR="000A29B0" w:rsidRPr="007020C2" w:rsidRDefault="000A29B0" w:rsidP="007E35EB">
                  <w:pPr>
                    <w:spacing w:line="240" w:lineRule="auto"/>
                    <w:rPr>
                      <w:sz w:val="22"/>
                      <w:szCs w:val="22"/>
                    </w:rPr>
                  </w:pPr>
                </w:p>
              </w:tc>
              <w:tc>
                <w:tcPr>
                  <w:tcW w:w="567" w:type="dxa"/>
                  <w:vMerge/>
                  <w:shd w:val="clear" w:color="auto" w:fill="D9D9D9" w:themeFill="background1" w:themeFillShade="D9"/>
                </w:tcPr>
                <w:p w:rsidR="000A29B0" w:rsidRPr="007020C2" w:rsidRDefault="000A29B0" w:rsidP="007E35EB">
                  <w:pPr>
                    <w:spacing w:line="240" w:lineRule="auto"/>
                    <w:rPr>
                      <w:sz w:val="22"/>
                      <w:szCs w:val="22"/>
                    </w:rPr>
                  </w:pPr>
                </w:p>
              </w:tc>
            </w:tr>
            <w:tr w:rsidR="000A29B0" w:rsidRPr="007020C2" w:rsidTr="007E35EB">
              <w:trPr>
                <w:trHeight w:val="554"/>
              </w:trPr>
              <w:tc>
                <w:tcPr>
                  <w:tcW w:w="534" w:type="dxa"/>
                  <w:vMerge/>
                  <w:shd w:val="clear" w:color="auto" w:fill="D9D9D9" w:themeFill="background1" w:themeFillShade="D9"/>
                </w:tcPr>
                <w:p w:rsidR="000A29B0" w:rsidRPr="007020C2" w:rsidRDefault="000A29B0" w:rsidP="007E35EB">
                  <w:pPr>
                    <w:spacing w:line="240" w:lineRule="auto"/>
                    <w:rPr>
                      <w:sz w:val="22"/>
                      <w:szCs w:val="22"/>
                    </w:rPr>
                  </w:pPr>
                </w:p>
              </w:tc>
              <w:tc>
                <w:tcPr>
                  <w:tcW w:w="5953" w:type="dxa"/>
                  <w:gridSpan w:val="2"/>
                  <w:shd w:val="clear" w:color="auto" w:fill="D9D9D9" w:themeFill="background1" w:themeFillShade="D9"/>
                </w:tcPr>
                <w:p w:rsidR="000A29B0" w:rsidRPr="007020C2" w:rsidRDefault="000A29B0" w:rsidP="007E35EB">
                  <w:pPr>
                    <w:spacing w:line="240" w:lineRule="auto"/>
                    <w:rPr>
                      <w:sz w:val="22"/>
                      <w:szCs w:val="22"/>
                    </w:rPr>
                  </w:pPr>
                </w:p>
              </w:tc>
            </w:tr>
          </w:tbl>
          <w:p w:rsidR="000A29B0" w:rsidRPr="007020C2" w:rsidRDefault="000A29B0" w:rsidP="000A29B0">
            <w:pPr>
              <w:spacing w:line="240" w:lineRule="auto"/>
              <w:ind w:left="34" w:firstLine="3118"/>
              <w:rPr>
                <w:rFonts w:ascii="Times New Roman" w:hAnsi="Times New Roman" w:cs="Times New Roman"/>
              </w:rPr>
            </w:pPr>
            <w:r w:rsidRPr="007020C2">
              <w:rPr>
                <w:rFonts w:ascii="Times New Roman" w:hAnsi="Times New Roman" w:cs="Times New Roman"/>
              </w:rPr>
              <w:t>Рис.2</w:t>
            </w:r>
          </w:p>
          <w:p w:rsidR="000A29B0" w:rsidRPr="007020C2" w:rsidRDefault="000A29B0" w:rsidP="00E0767B">
            <w:pPr>
              <w:spacing w:after="100" w:line="240" w:lineRule="auto"/>
              <w:ind w:left="34" w:firstLine="459"/>
              <w:jc w:val="both"/>
              <w:rPr>
                <w:rFonts w:ascii="Times New Roman" w:hAnsi="Times New Roman" w:cs="Times New Roman"/>
              </w:rPr>
            </w:pPr>
            <w:r w:rsidRPr="007020C2">
              <w:rPr>
                <w:rFonts w:ascii="Times New Roman" w:hAnsi="Times New Roman" w:cs="Times New Roman"/>
              </w:rPr>
              <w:t xml:space="preserve">В случае сплошной периметральной застройки, изображенной на рисунке 2, когда все здания одинаковой ширины </w:t>
            </w:r>
            <w:r w:rsidRPr="007020C2">
              <w:rPr>
                <w:rFonts w:ascii="Times New Roman" w:hAnsi="Times New Roman" w:cs="Times New Roman"/>
                <w:lang w:val="en-US"/>
              </w:rPr>
              <w:t>h</w:t>
            </w:r>
            <w:r w:rsidRPr="007020C2">
              <w:rPr>
                <w:rFonts w:ascii="Times New Roman" w:hAnsi="Times New Roman" w:cs="Times New Roman"/>
              </w:rPr>
              <w:t xml:space="preserve"> расположены без разрывов по периметру квартала, площадь застройки </w:t>
            </w:r>
            <w:r w:rsidRPr="007020C2">
              <w:rPr>
                <w:rFonts w:ascii="Times New Roman" w:hAnsi="Times New Roman" w:cs="Times New Roman"/>
                <w:bCs/>
              </w:rPr>
              <w:t>Sз</w:t>
            </w:r>
            <w:r w:rsidRPr="007020C2">
              <w:rPr>
                <w:rFonts w:ascii="Times New Roman" w:hAnsi="Times New Roman" w:cs="Times New Roman"/>
              </w:rPr>
              <w:t xml:space="preserve"> зависит от  ширины зданий </w:t>
            </w:r>
            <w:r w:rsidRPr="007020C2">
              <w:rPr>
                <w:rFonts w:ascii="Times New Roman" w:hAnsi="Times New Roman" w:cs="Times New Roman"/>
                <w:lang w:val="en-US"/>
              </w:rPr>
              <w:t>h</w:t>
            </w:r>
            <w:r w:rsidRPr="007020C2">
              <w:rPr>
                <w:rFonts w:ascii="Times New Roman" w:hAnsi="Times New Roman" w:cs="Times New Roman"/>
              </w:rPr>
              <w:t xml:space="preserve"> и протяженности сторон квартала:</w:t>
            </w:r>
          </w:p>
          <w:p w:rsidR="000A29B0" w:rsidRPr="007020C2" w:rsidRDefault="000A29B0" w:rsidP="00E0767B">
            <w:pPr>
              <w:spacing w:after="100" w:line="240" w:lineRule="auto"/>
              <w:ind w:left="34" w:firstLine="459"/>
              <w:rPr>
                <w:rFonts w:ascii="Times New Roman" w:hAnsi="Times New Roman" w:cs="Times New Roman"/>
                <w:lang w:val="en-US"/>
              </w:rPr>
            </w:pPr>
            <w:r w:rsidRPr="007020C2">
              <w:rPr>
                <w:rFonts w:ascii="Times New Roman" w:hAnsi="Times New Roman" w:cs="Times New Roman"/>
                <w:bCs/>
                <w:lang w:val="en-US"/>
              </w:rPr>
              <w:t>S</w:t>
            </w:r>
            <w:r w:rsidRPr="007020C2">
              <w:rPr>
                <w:rFonts w:ascii="Times New Roman" w:hAnsi="Times New Roman" w:cs="Times New Roman"/>
                <w:bCs/>
              </w:rPr>
              <w:t>з</w:t>
            </w:r>
            <w:r w:rsidRPr="007020C2">
              <w:rPr>
                <w:rFonts w:ascii="Times New Roman" w:hAnsi="Times New Roman" w:cs="Times New Roman"/>
                <w:bCs/>
                <w:lang w:val="en-US"/>
              </w:rPr>
              <w:t xml:space="preserve"> = </w:t>
            </w:r>
            <w:r w:rsidRPr="007020C2">
              <w:rPr>
                <w:rFonts w:ascii="Times New Roman" w:hAnsi="Times New Roman" w:cs="Times New Roman"/>
                <w:lang w:val="en-US"/>
              </w:rPr>
              <w:t xml:space="preserve">h </w:t>
            </w:r>
            <w:r w:rsidRPr="007020C2">
              <w:rPr>
                <w:rFonts w:ascii="Times New Roman" w:hAnsi="Times New Roman" w:cs="Times New Roman"/>
                <w:bCs/>
                <w:lang w:val="en-US"/>
              </w:rPr>
              <w:t>× (2×(X</w:t>
            </w:r>
            <w:r w:rsidR="00AE7596" w:rsidRPr="007020C2">
              <w:rPr>
                <w:rFonts w:ascii="Times New Roman" w:hAnsi="Times New Roman" w:cs="Times New Roman"/>
                <w:bCs/>
                <w:lang w:val="en-US"/>
              </w:rPr>
              <w:t>–</w:t>
            </w:r>
            <w:r w:rsidRPr="007020C2">
              <w:rPr>
                <w:rFonts w:ascii="Times New Roman" w:hAnsi="Times New Roman" w:cs="Times New Roman"/>
                <w:lang w:val="en-US"/>
              </w:rPr>
              <w:t xml:space="preserve"> h)+</w:t>
            </w:r>
            <w:r w:rsidRPr="007020C2">
              <w:rPr>
                <w:rFonts w:ascii="Times New Roman" w:hAnsi="Times New Roman" w:cs="Times New Roman"/>
                <w:bCs/>
                <w:lang w:val="en-US"/>
              </w:rPr>
              <w:t>2×(Y</w:t>
            </w:r>
            <w:r w:rsidR="00AE7596" w:rsidRPr="007020C2">
              <w:rPr>
                <w:rFonts w:ascii="Times New Roman" w:hAnsi="Times New Roman" w:cs="Times New Roman"/>
                <w:bCs/>
                <w:lang w:val="en-US"/>
              </w:rPr>
              <w:t>–</w:t>
            </w:r>
            <w:r w:rsidRPr="007020C2">
              <w:rPr>
                <w:rFonts w:ascii="Times New Roman" w:hAnsi="Times New Roman" w:cs="Times New Roman"/>
                <w:lang w:val="en-US"/>
              </w:rPr>
              <w:t xml:space="preserve">h)) </w:t>
            </w:r>
            <w:r w:rsidRPr="007020C2">
              <w:rPr>
                <w:rFonts w:ascii="Times New Roman" w:hAnsi="Times New Roman" w:cs="Times New Roman"/>
                <w:bCs/>
                <w:lang w:val="en-US"/>
              </w:rPr>
              <w:t xml:space="preserve">= </w:t>
            </w:r>
            <w:r w:rsidRPr="007020C2">
              <w:rPr>
                <w:rFonts w:ascii="Times New Roman" w:hAnsi="Times New Roman" w:cs="Times New Roman"/>
                <w:lang w:val="en-US"/>
              </w:rPr>
              <w:t xml:space="preserve">h </w:t>
            </w:r>
            <w:r w:rsidRPr="007020C2">
              <w:rPr>
                <w:rFonts w:ascii="Times New Roman" w:hAnsi="Times New Roman" w:cs="Times New Roman"/>
                <w:bCs/>
                <w:lang w:val="en-US"/>
              </w:rPr>
              <w:t>× (2×(X</w:t>
            </w:r>
            <w:r w:rsidR="00AE7596" w:rsidRPr="007020C2">
              <w:rPr>
                <w:rFonts w:ascii="Times New Roman" w:hAnsi="Times New Roman" w:cs="Times New Roman"/>
                <w:bCs/>
                <w:lang w:val="en-US"/>
              </w:rPr>
              <w:t>–</w:t>
            </w:r>
            <w:r w:rsidRPr="007020C2">
              <w:rPr>
                <w:rFonts w:ascii="Times New Roman" w:hAnsi="Times New Roman" w:cs="Times New Roman"/>
                <w:lang w:val="en-US"/>
              </w:rPr>
              <w:t xml:space="preserve">h) + </w:t>
            </w:r>
            <w:r w:rsidRPr="007020C2">
              <w:rPr>
                <w:rFonts w:ascii="Times New Roman" w:hAnsi="Times New Roman" w:cs="Times New Roman"/>
                <w:bCs/>
                <w:lang w:val="en-US"/>
              </w:rPr>
              <w:t>2×(r×X</w:t>
            </w:r>
            <w:r w:rsidR="00AE7596" w:rsidRPr="007020C2">
              <w:rPr>
                <w:rFonts w:ascii="Times New Roman" w:hAnsi="Times New Roman" w:cs="Times New Roman"/>
                <w:bCs/>
                <w:lang w:val="en-US"/>
              </w:rPr>
              <w:t>–</w:t>
            </w:r>
            <w:r w:rsidRPr="007020C2">
              <w:rPr>
                <w:rFonts w:ascii="Times New Roman" w:hAnsi="Times New Roman" w:cs="Times New Roman"/>
                <w:lang w:val="en-US"/>
              </w:rPr>
              <w:t>h)) =</w:t>
            </w:r>
          </w:p>
          <w:p w:rsidR="000A29B0" w:rsidRPr="007020C2" w:rsidRDefault="000A29B0" w:rsidP="00E0767B">
            <w:pPr>
              <w:spacing w:after="100" w:line="240" w:lineRule="auto"/>
              <w:ind w:left="34" w:firstLine="459"/>
              <w:rPr>
                <w:rFonts w:ascii="Times New Roman" w:hAnsi="Times New Roman" w:cs="Times New Roman"/>
                <w:bCs/>
              </w:rPr>
            </w:pPr>
            <w:r w:rsidRPr="007020C2">
              <w:rPr>
                <w:rFonts w:ascii="Times New Roman" w:hAnsi="Times New Roman" w:cs="Times New Roman"/>
              </w:rPr>
              <w:t>2</w:t>
            </w:r>
            <w:r w:rsidRPr="007020C2">
              <w:rPr>
                <w:rFonts w:ascii="Times New Roman" w:hAnsi="Times New Roman" w:cs="Times New Roman"/>
                <w:bCs/>
              </w:rPr>
              <w:t>×</w:t>
            </w:r>
            <w:r w:rsidRPr="007020C2">
              <w:rPr>
                <w:rFonts w:ascii="Times New Roman" w:hAnsi="Times New Roman" w:cs="Times New Roman"/>
                <w:lang w:val="en-US"/>
              </w:rPr>
              <w:t>h</w:t>
            </w:r>
            <w:r w:rsidRPr="007020C2">
              <w:rPr>
                <w:rFonts w:ascii="Times New Roman" w:hAnsi="Times New Roman" w:cs="Times New Roman"/>
                <w:bCs/>
              </w:rPr>
              <w:t xml:space="preserve">×(1+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00AE7596" w:rsidRPr="007020C2">
              <w:rPr>
                <w:rFonts w:ascii="Times New Roman" w:hAnsi="Times New Roman" w:cs="Times New Roman"/>
                <w:bCs/>
              </w:rPr>
              <w:t>–</w:t>
            </w:r>
            <w:r w:rsidRPr="007020C2">
              <w:rPr>
                <w:rFonts w:ascii="Times New Roman" w:hAnsi="Times New Roman" w:cs="Times New Roman"/>
                <w:bCs/>
              </w:rPr>
              <w:t xml:space="preserve"> 4×</w:t>
            </w:r>
            <w:r w:rsidRPr="007020C2">
              <w:rPr>
                <w:rFonts w:ascii="Times New Roman" w:hAnsi="Times New Roman" w:cs="Times New Roman"/>
                <w:lang w:val="en-US"/>
              </w:rPr>
              <w:t>h</w:t>
            </w:r>
            <w:r w:rsidRPr="007020C2">
              <w:rPr>
                <w:rFonts w:ascii="Times New Roman" w:hAnsi="Times New Roman" w:cs="Times New Roman"/>
                <w:vertAlign w:val="superscript"/>
              </w:rPr>
              <w:t>2</w:t>
            </w:r>
            <w:r w:rsidRPr="007020C2">
              <w:rPr>
                <w:rFonts w:ascii="Times New Roman" w:hAnsi="Times New Roman" w:cs="Times New Roman"/>
                <w:bCs/>
              </w:rPr>
              <w:t>.</w:t>
            </w:r>
          </w:p>
          <w:tbl>
            <w:tblPr>
              <w:tblStyle w:val="a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92"/>
              <w:gridCol w:w="450"/>
              <w:gridCol w:w="825"/>
              <w:gridCol w:w="585"/>
              <w:gridCol w:w="1590"/>
              <w:gridCol w:w="405"/>
              <w:gridCol w:w="120"/>
              <w:gridCol w:w="1464"/>
              <w:gridCol w:w="420"/>
              <w:gridCol w:w="236"/>
            </w:tblGrid>
            <w:tr w:rsidR="000A29B0" w:rsidRPr="007020C2" w:rsidTr="007E35EB">
              <w:trPr>
                <w:trHeight w:val="407"/>
              </w:trPr>
              <w:tc>
                <w:tcPr>
                  <w:tcW w:w="392" w:type="dxa"/>
                </w:tcPr>
                <w:p w:rsidR="000A29B0" w:rsidRPr="007020C2" w:rsidRDefault="000A29B0" w:rsidP="007E35EB">
                  <w:pPr>
                    <w:spacing w:line="240" w:lineRule="auto"/>
                    <w:rPr>
                      <w:sz w:val="22"/>
                      <w:szCs w:val="22"/>
                    </w:rPr>
                  </w:pPr>
                </w:p>
              </w:tc>
              <w:tc>
                <w:tcPr>
                  <w:tcW w:w="5859" w:type="dxa"/>
                  <w:gridSpan w:val="8"/>
                </w:tcPr>
                <w:p w:rsidR="000A29B0" w:rsidRPr="007020C2" w:rsidRDefault="000A29B0" w:rsidP="007E35EB">
                  <w:pPr>
                    <w:spacing w:line="240" w:lineRule="auto"/>
                    <w:rPr>
                      <w:sz w:val="22"/>
                      <w:szCs w:val="22"/>
                    </w:rPr>
                  </w:pPr>
                  <w:r w:rsidRPr="007020C2">
                    <w:rPr>
                      <w:sz w:val="22"/>
                      <w:szCs w:val="22"/>
                      <w:lang w:val="en-US"/>
                    </w:rPr>
                    <w:t>Y</w:t>
                  </w:r>
                </w:p>
              </w:tc>
              <w:tc>
                <w:tcPr>
                  <w:tcW w:w="236" w:type="dxa"/>
                </w:tcPr>
                <w:p w:rsidR="000A29B0" w:rsidRPr="007020C2" w:rsidRDefault="000A29B0" w:rsidP="007E35EB">
                  <w:pPr>
                    <w:spacing w:line="240" w:lineRule="auto"/>
                    <w:rPr>
                      <w:sz w:val="22"/>
                      <w:szCs w:val="22"/>
                    </w:rPr>
                  </w:pPr>
                </w:p>
              </w:tc>
            </w:tr>
            <w:tr w:rsidR="000A29B0" w:rsidRPr="007020C2" w:rsidTr="007E35EB">
              <w:trPr>
                <w:trHeight w:val="405"/>
              </w:trPr>
              <w:tc>
                <w:tcPr>
                  <w:tcW w:w="392" w:type="dxa"/>
                  <w:vMerge w:val="restart"/>
                </w:tcPr>
                <w:p w:rsidR="000A29B0" w:rsidRPr="007020C2" w:rsidRDefault="000A29B0" w:rsidP="007E35EB">
                  <w:pPr>
                    <w:spacing w:line="240" w:lineRule="auto"/>
                    <w:rPr>
                      <w:bCs/>
                      <w:sz w:val="22"/>
                      <w:szCs w:val="22"/>
                    </w:rPr>
                  </w:pPr>
                </w:p>
                <w:p w:rsidR="000A29B0" w:rsidRPr="007020C2" w:rsidRDefault="000A29B0" w:rsidP="007E35EB">
                  <w:pPr>
                    <w:spacing w:line="240" w:lineRule="auto"/>
                    <w:rPr>
                      <w:bCs/>
                      <w:sz w:val="22"/>
                      <w:szCs w:val="22"/>
                    </w:rPr>
                  </w:pPr>
                </w:p>
                <w:p w:rsidR="000A29B0" w:rsidRPr="007020C2" w:rsidRDefault="000A29B0" w:rsidP="007E35EB">
                  <w:pPr>
                    <w:spacing w:line="240" w:lineRule="auto"/>
                    <w:rPr>
                      <w:bCs/>
                      <w:sz w:val="22"/>
                      <w:szCs w:val="22"/>
                    </w:rPr>
                  </w:pPr>
                </w:p>
                <w:p w:rsidR="000A29B0" w:rsidRPr="007020C2" w:rsidRDefault="000A29B0" w:rsidP="007E35EB">
                  <w:pPr>
                    <w:spacing w:line="240" w:lineRule="auto"/>
                    <w:rPr>
                      <w:bCs/>
                      <w:sz w:val="22"/>
                      <w:szCs w:val="22"/>
                    </w:rPr>
                  </w:pPr>
                </w:p>
                <w:p w:rsidR="000A29B0" w:rsidRPr="007020C2" w:rsidRDefault="000A29B0" w:rsidP="007E35EB">
                  <w:pPr>
                    <w:spacing w:line="240" w:lineRule="auto"/>
                    <w:ind w:left="-142" w:right="-108" w:firstLine="53"/>
                    <w:jc w:val="center"/>
                    <w:rPr>
                      <w:sz w:val="22"/>
                      <w:szCs w:val="22"/>
                    </w:rPr>
                  </w:pPr>
                  <w:r w:rsidRPr="007020C2">
                    <w:rPr>
                      <w:bCs/>
                      <w:sz w:val="22"/>
                      <w:szCs w:val="22"/>
                    </w:rPr>
                    <w:t>Х</w:t>
                  </w:r>
                </w:p>
              </w:tc>
              <w:tc>
                <w:tcPr>
                  <w:tcW w:w="1275" w:type="dxa"/>
                  <w:gridSpan w:val="2"/>
                  <w:shd w:val="clear" w:color="auto" w:fill="D9D9D9" w:themeFill="background1" w:themeFillShade="D9"/>
                </w:tcPr>
                <w:p w:rsidR="000A29B0" w:rsidRPr="007020C2" w:rsidRDefault="000A29B0" w:rsidP="007E35EB">
                  <w:pPr>
                    <w:spacing w:line="240" w:lineRule="auto"/>
                    <w:rPr>
                      <w:sz w:val="22"/>
                      <w:szCs w:val="22"/>
                    </w:rPr>
                  </w:pPr>
                </w:p>
              </w:tc>
              <w:tc>
                <w:tcPr>
                  <w:tcW w:w="585" w:type="dxa"/>
                  <w:vAlign w:val="center"/>
                </w:tcPr>
                <w:p w:rsidR="000A29B0" w:rsidRPr="007020C2" w:rsidRDefault="000A29B0" w:rsidP="007E35EB">
                  <w:pPr>
                    <w:spacing w:line="240" w:lineRule="auto"/>
                    <w:ind w:left="-107"/>
                    <w:rPr>
                      <w:sz w:val="22"/>
                      <w:szCs w:val="22"/>
                    </w:rPr>
                  </w:pPr>
                  <w:r w:rsidRPr="007020C2">
                    <w:rPr>
                      <w:sz w:val="22"/>
                      <w:szCs w:val="22"/>
                      <w:lang w:val="en-US"/>
                    </w:rPr>
                    <w:t>h</w:t>
                  </w:r>
                </w:p>
              </w:tc>
              <w:tc>
                <w:tcPr>
                  <w:tcW w:w="1590" w:type="dxa"/>
                  <w:shd w:val="clear" w:color="auto" w:fill="D9D9D9" w:themeFill="background1" w:themeFillShade="D9"/>
                </w:tcPr>
                <w:p w:rsidR="000A29B0" w:rsidRPr="007020C2" w:rsidRDefault="000A29B0" w:rsidP="007E35EB">
                  <w:pPr>
                    <w:spacing w:line="240" w:lineRule="auto"/>
                    <w:rPr>
                      <w:sz w:val="22"/>
                      <w:szCs w:val="22"/>
                    </w:rPr>
                  </w:pPr>
                </w:p>
              </w:tc>
              <w:tc>
                <w:tcPr>
                  <w:tcW w:w="525" w:type="dxa"/>
                  <w:gridSpan w:val="2"/>
                </w:tcPr>
                <w:p w:rsidR="000A29B0" w:rsidRPr="007020C2" w:rsidRDefault="000A29B0" w:rsidP="007E35EB">
                  <w:pPr>
                    <w:spacing w:line="240" w:lineRule="auto"/>
                    <w:rPr>
                      <w:sz w:val="22"/>
                      <w:szCs w:val="22"/>
                    </w:rPr>
                  </w:pPr>
                </w:p>
              </w:tc>
              <w:tc>
                <w:tcPr>
                  <w:tcW w:w="1884" w:type="dxa"/>
                  <w:gridSpan w:val="2"/>
                  <w:shd w:val="clear" w:color="auto" w:fill="D9D9D9" w:themeFill="background1" w:themeFillShade="D9"/>
                </w:tcPr>
                <w:p w:rsidR="000A29B0" w:rsidRPr="007020C2" w:rsidRDefault="000A29B0" w:rsidP="007E35EB">
                  <w:pPr>
                    <w:spacing w:line="240" w:lineRule="auto"/>
                    <w:rPr>
                      <w:sz w:val="22"/>
                      <w:szCs w:val="22"/>
                    </w:rPr>
                  </w:pPr>
                </w:p>
              </w:tc>
              <w:tc>
                <w:tcPr>
                  <w:tcW w:w="236" w:type="dxa"/>
                  <w:vMerge w:val="restart"/>
                </w:tcPr>
                <w:p w:rsidR="000A29B0" w:rsidRPr="007020C2" w:rsidRDefault="000A29B0" w:rsidP="007E35EB">
                  <w:pPr>
                    <w:spacing w:line="240" w:lineRule="auto"/>
                    <w:rPr>
                      <w:sz w:val="22"/>
                      <w:szCs w:val="22"/>
                    </w:rPr>
                  </w:pPr>
                </w:p>
              </w:tc>
            </w:tr>
            <w:tr w:rsidR="000A29B0" w:rsidRPr="007020C2" w:rsidTr="007E35EB">
              <w:trPr>
                <w:trHeight w:val="525"/>
              </w:trPr>
              <w:tc>
                <w:tcPr>
                  <w:tcW w:w="392" w:type="dxa"/>
                  <w:vMerge/>
                </w:tcPr>
                <w:p w:rsidR="000A29B0" w:rsidRPr="007020C2" w:rsidRDefault="000A29B0" w:rsidP="007E35EB">
                  <w:pPr>
                    <w:spacing w:line="240" w:lineRule="auto"/>
                    <w:rPr>
                      <w:sz w:val="22"/>
                      <w:szCs w:val="22"/>
                    </w:rPr>
                  </w:pPr>
                </w:p>
              </w:tc>
              <w:tc>
                <w:tcPr>
                  <w:tcW w:w="450" w:type="dxa"/>
                  <w:shd w:val="clear" w:color="auto" w:fill="D9D9D9" w:themeFill="background1" w:themeFillShade="D9"/>
                </w:tcPr>
                <w:p w:rsidR="000A29B0" w:rsidRPr="007020C2" w:rsidRDefault="000A29B0" w:rsidP="007E35EB">
                  <w:pPr>
                    <w:spacing w:line="240" w:lineRule="auto"/>
                    <w:rPr>
                      <w:sz w:val="22"/>
                      <w:szCs w:val="22"/>
                    </w:rPr>
                  </w:pPr>
                </w:p>
              </w:tc>
              <w:tc>
                <w:tcPr>
                  <w:tcW w:w="4989" w:type="dxa"/>
                  <w:gridSpan w:val="6"/>
                  <w:vMerge w:val="restart"/>
                </w:tcPr>
                <w:p w:rsidR="000A29B0" w:rsidRPr="007020C2" w:rsidRDefault="000A29B0" w:rsidP="007E35EB">
                  <w:pPr>
                    <w:spacing w:line="240" w:lineRule="auto"/>
                    <w:rPr>
                      <w:sz w:val="22"/>
                      <w:szCs w:val="22"/>
                    </w:rPr>
                  </w:pPr>
                </w:p>
              </w:tc>
              <w:tc>
                <w:tcPr>
                  <w:tcW w:w="420" w:type="dxa"/>
                  <w:vMerge w:val="restart"/>
                  <w:shd w:val="clear" w:color="auto" w:fill="D9D9D9" w:themeFill="background1" w:themeFillShade="D9"/>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555"/>
              </w:trPr>
              <w:tc>
                <w:tcPr>
                  <w:tcW w:w="392" w:type="dxa"/>
                  <w:vMerge/>
                </w:tcPr>
                <w:p w:rsidR="000A29B0" w:rsidRPr="007020C2" w:rsidRDefault="000A29B0" w:rsidP="007E35EB">
                  <w:pPr>
                    <w:spacing w:line="240" w:lineRule="auto"/>
                    <w:rPr>
                      <w:sz w:val="22"/>
                      <w:szCs w:val="22"/>
                    </w:rPr>
                  </w:pPr>
                </w:p>
              </w:tc>
              <w:tc>
                <w:tcPr>
                  <w:tcW w:w="450" w:type="dxa"/>
                </w:tcPr>
                <w:p w:rsidR="000A29B0" w:rsidRPr="007020C2" w:rsidRDefault="000A29B0" w:rsidP="007E35EB">
                  <w:pPr>
                    <w:spacing w:line="240" w:lineRule="auto"/>
                    <w:rPr>
                      <w:sz w:val="22"/>
                      <w:szCs w:val="22"/>
                    </w:rPr>
                  </w:pPr>
                </w:p>
              </w:tc>
              <w:tc>
                <w:tcPr>
                  <w:tcW w:w="4989" w:type="dxa"/>
                  <w:gridSpan w:val="6"/>
                  <w:vMerge/>
                </w:tcPr>
                <w:p w:rsidR="000A29B0" w:rsidRPr="007020C2" w:rsidRDefault="000A29B0" w:rsidP="007E35EB">
                  <w:pPr>
                    <w:spacing w:line="240" w:lineRule="auto"/>
                    <w:rPr>
                      <w:sz w:val="22"/>
                      <w:szCs w:val="22"/>
                    </w:rPr>
                  </w:pPr>
                </w:p>
              </w:tc>
              <w:tc>
                <w:tcPr>
                  <w:tcW w:w="420" w:type="dxa"/>
                  <w:vMerge/>
                  <w:shd w:val="clear" w:color="auto" w:fill="D9D9D9" w:themeFill="background1" w:themeFillShade="D9"/>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555"/>
              </w:trPr>
              <w:tc>
                <w:tcPr>
                  <w:tcW w:w="392" w:type="dxa"/>
                  <w:vMerge/>
                </w:tcPr>
                <w:p w:rsidR="000A29B0" w:rsidRPr="007020C2" w:rsidRDefault="000A29B0" w:rsidP="007E35EB">
                  <w:pPr>
                    <w:spacing w:line="240" w:lineRule="auto"/>
                    <w:rPr>
                      <w:sz w:val="22"/>
                      <w:szCs w:val="22"/>
                    </w:rPr>
                  </w:pPr>
                </w:p>
              </w:tc>
              <w:tc>
                <w:tcPr>
                  <w:tcW w:w="450" w:type="dxa"/>
                  <w:shd w:val="clear" w:color="auto" w:fill="D9D9D9" w:themeFill="background1" w:themeFillShade="D9"/>
                </w:tcPr>
                <w:p w:rsidR="000A29B0" w:rsidRPr="007020C2" w:rsidRDefault="000A29B0" w:rsidP="007E35EB">
                  <w:pPr>
                    <w:spacing w:line="240" w:lineRule="auto"/>
                    <w:rPr>
                      <w:sz w:val="22"/>
                      <w:szCs w:val="22"/>
                    </w:rPr>
                  </w:pPr>
                </w:p>
              </w:tc>
              <w:tc>
                <w:tcPr>
                  <w:tcW w:w="4989" w:type="dxa"/>
                  <w:gridSpan w:val="6"/>
                  <w:vMerge/>
                </w:tcPr>
                <w:p w:rsidR="000A29B0" w:rsidRPr="007020C2" w:rsidRDefault="000A29B0" w:rsidP="007E35EB">
                  <w:pPr>
                    <w:spacing w:line="240" w:lineRule="auto"/>
                    <w:rPr>
                      <w:sz w:val="22"/>
                      <w:szCs w:val="22"/>
                    </w:rPr>
                  </w:pPr>
                </w:p>
              </w:tc>
              <w:tc>
                <w:tcPr>
                  <w:tcW w:w="420" w:type="dxa"/>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465"/>
              </w:trPr>
              <w:tc>
                <w:tcPr>
                  <w:tcW w:w="392" w:type="dxa"/>
                  <w:vMerge/>
                </w:tcPr>
                <w:p w:rsidR="000A29B0" w:rsidRPr="007020C2" w:rsidRDefault="000A29B0" w:rsidP="007E35EB">
                  <w:pPr>
                    <w:spacing w:line="240" w:lineRule="auto"/>
                    <w:rPr>
                      <w:sz w:val="22"/>
                      <w:szCs w:val="22"/>
                    </w:rPr>
                  </w:pPr>
                </w:p>
              </w:tc>
              <w:tc>
                <w:tcPr>
                  <w:tcW w:w="1275" w:type="dxa"/>
                  <w:gridSpan w:val="2"/>
                  <w:shd w:val="clear" w:color="auto" w:fill="D9D9D9" w:themeFill="background1" w:themeFillShade="D9"/>
                </w:tcPr>
                <w:p w:rsidR="000A29B0" w:rsidRPr="007020C2" w:rsidRDefault="000A29B0" w:rsidP="007E35EB">
                  <w:pPr>
                    <w:spacing w:line="240" w:lineRule="auto"/>
                    <w:rPr>
                      <w:sz w:val="22"/>
                      <w:szCs w:val="22"/>
                    </w:rPr>
                  </w:pPr>
                </w:p>
              </w:tc>
              <w:tc>
                <w:tcPr>
                  <w:tcW w:w="585" w:type="dxa"/>
                </w:tcPr>
                <w:p w:rsidR="000A29B0" w:rsidRPr="007020C2" w:rsidRDefault="000A29B0" w:rsidP="007E35EB">
                  <w:pPr>
                    <w:spacing w:line="240" w:lineRule="auto"/>
                    <w:rPr>
                      <w:sz w:val="22"/>
                      <w:szCs w:val="22"/>
                    </w:rPr>
                  </w:pPr>
                </w:p>
              </w:tc>
              <w:tc>
                <w:tcPr>
                  <w:tcW w:w="1590" w:type="dxa"/>
                  <w:shd w:val="clear" w:color="auto" w:fill="D9D9D9" w:themeFill="background1" w:themeFillShade="D9"/>
                </w:tcPr>
                <w:p w:rsidR="000A29B0" w:rsidRPr="007020C2" w:rsidRDefault="000A29B0" w:rsidP="007E35EB">
                  <w:pPr>
                    <w:spacing w:line="240" w:lineRule="auto"/>
                    <w:rPr>
                      <w:sz w:val="22"/>
                      <w:szCs w:val="22"/>
                    </w:rPr>
                  </w:pPr>
                </w:p>
              </w:tc>
              <w:tc>
                <w:tcPr>
                  <w:tcW w:w="405" w:type="dxa"/>
                </w:tcPr>
                <w:p w:rsidR="000A29B0" w:rsidRPr="007020C2" w:rsidRDefault="000A29B0" w:rsidP="007E35EB">
                  <w:pPr>
                    <w:spacing w:line="240" w:lineRule="auto"/>
                    <w:rPr>
                      <w:sz w:val="22"/>
                      <w:szCs w:val="22"/>
                    </w:rPr>
                  </w:pPr>
                </w:p>
              </w:tc>
              <w:tc>
                <w:tcPr>
                  <w:tcW w:w="2004" w:type="dxa"/>
                  <w:gridSpan w:val="3"/>
                  <w:shd w:val="clear" w:color="auto" w:fill="D9D9D9" w:themeFill="background1" w:themeFillShade="D9"/>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269"/>
              </w:trPr>
              <w:tc>
                <w:tcPr>
                  <w:tcW w:w="392" w:type="dxa"/>
                </w:tcPr>
                <w:p w:rsidR="000A29B0" w:rsidRPr="007020C2" w:rsidRDefault="000A29B0" w:rsidP="007E35EB">
                  <w:pPr>
                    <w:spacing w:line="240" w:lineRule="auto"/>
                    <w:rPr>
                      <w:sz w:val="22"/>
                      <w:szCs w:val="22"/>
                    </w:rPr>
                  </w:pPr>
                </w:p>
              </w:tc>
              <w:tc>
                <w:tcPr>
                  <w:tcW w:w="5859" w:type="dxa"/>
                  <w:gridSpan w:val="8"/>
                </w:tcPr>
                <w:p w:rsidR="000A29B0" w:rsidRPr="007020C2" w:rsidRDefault="000A29B0" w:rsidP="007E35EB">
                  <w:pPr>
                    <w:spacing w:line="240" w:lineRule="auto"/>
                    <w:rPr>
                      <w:sz w:val="22"/>
                      <w:szCs w:val="22"/>
                    </w:rPr>
                  </w:pPr>
                </w:p>
              </w:tc>
              <w:tc>
                <w:tcPr>
                  <w:tcW w:w="236" w:type="dxa"/>
                </w:tcPr>
                <w:p w:rsidR="000A29B0" w:rsidRPr="007020C2" w:rsidRDefault="000A29B0" w:rsidP="007E35EB">
                  <w:pPr>
                    <w:spacing w:line="240" w:lineRule="auto"/>
                    <w:rPr>
                      <w:sz w:val="22"/>
                      <w:szCs w:val="22"/>
                    </w:rPr>
                  </w:pPr>
                </w:p>
              </w:tc>
            </w:tr>
          </w:tbl>
          <w:p w:rsidR="000A29B0" w:rsidRPr="007020C2" w:rsidRDefault="000A29B0" w:rsidP="000A29B0">
            <w:pPr>
              <w:spacing w:line="240" w:lineRule="auto"/>
              <w:ind w:left="34" w:firstLine="3118"/>
              <w:rPr>
                <w:rFonts w:ascii="Times New Roman" w:hAnsi="Times New Roman" w:cs="Times New Roman"/>
              </w:rPr>
            </w:pPr>
            <w:r w:rsidRPr="007020C2">
              <w:rPr>
                <w:rFonts w:ascii="Times New Roman" w:hAnsi="Times New Roman" w:cs="Times New Roman"/>
              </w:rPr>
              <w:t>Рис.3</w:t>
            </w:r>
          </w:p>
          <w:p w:rsidR="000A29B0" w:rsidRPr="007020C2" w:rsidRDefault="000A29B0" w:rsidP="00E0767B">
            <w:pPr>
              <w:spacing w:line="240" w:lineRule="auto"/>
              <w:ind w:left="34" w:firstLine="459"/>
              <w:jc w:val="both"/>
              <w:rPr>
                <w:rFonts w:ascii="Times New Roman" w:hAnsi="Times New Roman" w:cs="Times New Roman"/>
                <w:bCs/>
              </w:rPr>
            </w:pPr>
            <w:r w:rsidRPr="007020C2">
              <w:rPr>
                <w:rFonts w:ascii="Times New Roman" w:hAnsi="Times New Roman" w:cs="Times New Roman"/>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7020C2">
              <w:rPr>
                <w:rFonts w:ascii="Times New Roman" w:hAnsi="Times New Roman" w:cs="Times New Roman"/>
                <w:bCs/>
              </w:rPr>
              <w:t xml:space="preserve">коэффициент непрерывности застройки </w:t>
            </w:r>
            <w:r w:rsidRPr="007020C2">
              <w:rPr>
                <w:rFonts w:ascii="Times New Roman" w:hAnsi="Times New Roman" w:cs="Times New Roman"/>
              </w:rPr>
              <w:t>Кп </w:t>
            </w:r>
            <w:r w:rsidRPr="007020C2">
              <w:rPr>
                <w:rFonts w:ascii="Times New Roman" w:hAnsi="Times New Roman" w:cs="Times New Roman"/>
                <w:bCs/>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rsidR="000A29B0" w:rsidRPr="007020C2" w:rsidRDefault="000A29B0" w:rsidP="00E0767B">
            <w:pPr>
              <w:spacing w:after="100" w:line="240" w:lineRule="auto"/>
              <w:ind w:left="34" w:firstLine="459"/>
              <w:jc w:val="both"/>
              <w:rPr>
                <w:rFonts w:ascii="Times New Roman" w:hAnsi="Times New Roman" w:cs="Times New Roman"/>
                <w:bCs/>
              </w:rPr>
            </w:pPr>
            <w:r w:rsidRPr="007020C2">
              <w:rPr>
                <w:rFonts w:ascii="Times New Roman" w:hAnsi="Times New Roman" w:cs="Times New Roman"/>
                <w:bCs/>
                <w:lang w:val="en-US"/>
              </w:rPr>
              <w:t>S</w:t>
            </w:r>
            <w:r w:rsidRPr="007020C2">
              <w:rPr>
                <w:rFonts w:ascii="Times New Roman" w:hAnsi="Times New Roman" w:cs="Times New Roman"/>
                <w:bCs/>
              </w:rPr>
              <w:t xml:space="preserve">з = </w:t>
            </w:r>
            <w:r w:rsidRPr="007020C2">
              <w:rPr>
                <w:rFonts w:ascii="Times New Roman" w:hAnsi="Times New Roman" w:cs="Times New Roman"/>
              </w:rPr>
              <w:t>2</w:t>
            </w:r>
            <w:r w:rsidRPr="007020C2">
              <w:rPr>
                <w:rFonts w:ascii="Times New Roman" w:hAnsi="Times New Roman" w:cs="Times New Roman"/>
                <w:bCs/>
              </w:rPr>
              <w:t>×</w:t>
            </w:r>
            <w:r w:rsidRPr="007020C2">
              <w:rPr>
                <w:rFonts w:ascii="Times New Roman" w:hAnsi="Times New Roman" w:cs="Times New Roman"/>
                <w:lang w:val="en-US"/>
              </w:rPr>
              <w:t>h</w:t>
            </w:r>
            <w:r w:rsidRPr="007020C2">
              <w:rPr>
                <w:rFonts w:ascii="Times New Roman" w:hAnsi="Times New Roman" w:cs="Times New Roman"/>
                <w:bCs/>
              </w:rPr>
              <w:t xml:space="preserve"> ×</w:t>
            </w:r>
            <w:r w:rsidRPr="007020C2">
              <w:rPr>
                <w:rFonts w:ascii="Times New Roman" w:hAnsi="Times New Roman" w:cs="Times New Roman"/>
              </w:rPr>
              <w:t xml:space="preserve"> Кп</w:t>
            </w:r>
            <w:r w:rsidRPr="007020C2">
              <w:rPr>
                <w:rFonts w:ascii="Times New Roman" w:hAnsi="Times New Roman" w:cs="Times New Roman"/>
                <w:bCs/>
              </w:rPr>
              <w:t xml:space="preserve"> ×(1+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00AE7596" w:rsidRPr="007020C2">
              <w:rPr>
                <w:rFonts w:ascii="Times New Roman" w:hAnsi="Times New Roman" w:cs="Times New Roman"/>
                <w:bCs/>
              </w:rPr>
              <w:t>–</w:t>
            </w:r>
            <w:r w:rsidRPr="007020C2">
              <w:rPr>
                <w:rFonts w:ascii="Times New Roman" w:hAnsi="Times New Roman" w:cs="Times New Roman"/>
                <w:bCs/>
              </w:rPr>
              <w:t xml:space="preserve"> 4×</w:t>
            </w:r>
            <w:r w:rsidRPr="007020C2">
              <w:rPr>
                <w:rFonts w:ascii="Times New Roman" w:hAnsi="Times New Roman" w:cs="Times New Roman"/>
              </w:rPr>
              <w:t xml:space="preserve"> Кп</w:t>
            </w:r>
            <w:r w:rsidRPr="007020C2">
              <w:rPr>
                <w:rFonts w:ascii="Times New Roman" w:hAnsi="Times New Roman" w:cs="Times New Roman"/>
                <w:bCs/>
              </w:rPr>
              <w:t xml:space="preserve"> ×</w:t>
            </w:r>
            <w:r w:rsidRPr="007020C2">
              <w:rPr>
                <w:rFonts w:ascii="Times New Roman" w:hAnsi="Times New Roman" w:cs="Times New Roman"/>
                <w:lang w:val="en-US"/>
              </w:rPr>
              <w:t>h</w:t>
            </w:r>
            <w:r w:rsidRPr="007020C2">
              <w:rPr>
                <w:rFonts w:ascii="Times New Roman" w:hAnsi="Times New Roman" w:cs="Times New Roman"/>
                <w:vertAlign w:val="superscript"/>
              </w:rPr>
              <w:t>2</w:t>
            </w:r>
            <w:r w:rsidRPr="007020C2">
              <w:rPr>
                <w:rFonts w:ascii="Times New Roman" w:hAnsi="Times New Roman" w:cs="Times New Roman"/>
                <w:bCs/>
              </w:rPr>
              <w:t>.</w:t>
            </w:r>
          </w:p>
          <w:p w:rsidR="000A29B0" w:rsidRPr="007020C2" w:rsidRDefault="000A29B0" w:rsidP="00E0767B">
            <w:pPr>
              <w:spacing w:after="100" w:line="240" w:lineRule="auto"/>
              <w:ind w:left="34" w:firstLine="459"/>
              <w:jc w:val="both"/>
              <w:rPr>
                <w:rFonts w:ascii="Times New Roman" w:hAnsi="Times New Roman" w:cs="Times New Roman"/>
              </w:rPr>
            </w:pPr>
            <w:r w:rsidRPr="007020C2">
              <w:rPr>
                <w:rFonts w:ascii="Times New Roman" w:hAnsi="Times New Roman" w:cs="Times New Roman"/>
              </w:rPr>
              <w:t xml:space="preserve">Вместе с тем, площадь застройки </w:t>
            </w:r>
            <w:r w:rsidRPr="007020C2">
              <w:rPr>
                <w:rFonts w:ascii="Times New Roman" w:hAnsi="Times New Roman" w:cs="Times New Roman"/>
                <w:bCs/>
              </w:rPr>
              <w:t>Sз зависит от площади квартала Sкв и максимального коэффициента застройки Кз</w:t>
            </w:r>
            <w:r w:rsidRPr="007020C2">
              <w:rPr>
                <w:rFonts w:ascii="Times New Roman" w:hAnsi="Times New Roman" w:cs="Times New Roman"/>
                <w:bCs/>
                <w:vertAlign w:val="superscript"/>
                <w:lang w:val="en-US"/>
              </w:rPr>
              <w:t>max</w:t>
            </w:r>
            <w:r w:rsidRPr="007020C2">
              <w:rPr>
                <w:rFonts w:ascii="Times New Roman" w:hAnsi="Times New Roman" w:cs="Times New Roman"/>
              </w:rPr>
              <w:t>:</w:t>
            </w:r>
          </w:p>
          <w:p w:rsidR="000A29B0" w:rsidRPr="007020C2" w:rsidRDefault="000A29B0" w:rsidP="00E0767B">
            <w:pPr>
              <w:spacing w:after="100" w:line="240" w:lineRule="auto"/>
              <w:ind w:left="34" w:firstLine="459"/>
              <w:jc w:val="both"/>
              <w:rPr>
                <w:rFonts w:ascii="Times New Roman" w:hAnsi="Times New Roman" w:cs="Times New Roman"/>
                <w:bCs/>
              </w:rPr>
            </w:pPr>
            <w:r w:rsidRPr="007020C2">
              <w:rPr>
                <w:rFonts w:ascii="Times New Roman" w:hAnsi="Times New Roman" w:cs="Times New Roman"/>
                <w:bCs/>
              </w:rPr>
              <w:t>Sз =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Sкв =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(X×Y) =</w:t>
            </w:r>
          </w:p>
          <w:p w:rsidR="000A29B0" w:rsidRPr="007020C2" w:rsidRDefault="000A29B0" w:rsidP="00E0767B">
            <w:pPr>
              <w:spacing w:after="100" w:line="240" w:lineRule="auto"/>
              <w:ind w:left="34" w:firstLine="459"/>
              <w:jc w:val="both"/>
              <w:rPr>
                <w:rFonts w:ascii="Times New Roman" w:hAnsi="Times New Roman" w:cs="Times New Roman"/>
                <w:bCs/>
              </w:rPr>
            </w:pPr>
            <w:r w:rsidRPr="007020C2">
              <w:rPr>
                <w:rFonts w:ascii="Times New Roman" w:hAnsi="Times New Roman" w:cs="Times New Roman"/>
                <w:bCs/>
              </w:rPr>
              <w:lastRenderedPageBreak/>
              <w:t xml:space="preserve">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xml:space="preserve">×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vertAlign w:val="superscript"/>
              </w:rPr>
              <w:t>2</w:t>
            </w:r>
            <w:r w:rsidRPr="007020C2">
              <w:rPr>
                <w:rFonts w:ascii="Times New Roman" w:hAnsi="Times New Roman" w:cs="Times New Roman"/>
                <w:bCs/>
              </w:rPr>
              <w:t>.</w:t>
            </w:r>
          </w:p>
          <w:p w:rsidR="000A29B0" w:rsidRPr="007020C2" w:rsidRDefault="000A29B0" w:rsidP="00E0767B">
            <w:pPr>
              <w:spacing w:after="100" w:line="240" w:lineRule="auto"/>
              <w:ind w:left="34" w:firstLine="425"/>
              <w:jc w:val="both"/>
              <w:rPr>
                <w:rFonts w:ascii="Times New Roman" w:hAnsi="Times New Roman" w:cs="Times New Roman"/>
                <w:bCs/>
              </w:rPr>
            </w:pPr>
            <w:r w:rsidRPr="007020C2">
              <w:rPr>
                <w:rFonts w:ascii="Times New Roman" w:hAnsi="Times New Roman" w:cs="Times New Roman"/>
                <w:bCs/>
              </w:rPr>
              <w:t xml:space="preserve">В результате приравнивания обоих выражений для </w:t>
            </w:r>
            <w:r w:rsidRPr="007020C2">
              <w:rPr>
                <w:rFonts w:ascii="Times New Roman" w:hAnsi="Times New Roman" w:cs="Times New Roman"/>
                <w:bCs/>
                <w:lang w:val="en-US"/>
              </w:rPr>
              <w:t>S</w:t>
            </w:r>
            <w:r w:rsidRPr="007020C2">
              <w:rPr>
                <w:rFonts w:ascii="Times New Roman" w:hAnsi="Times New Roman" w:cs="Times New Roman"/>
                <w:bCs/>
              </w:rPr>
              <w:t xml:space="preserve">з получается квадратное уравнение относительно </w:t>
            </w:r>
            <w:r w:rsidRPr="007020C2">
              <w:rPr>
                <w:rFonts w:ascii="Times New Roman" w:hAnsi="Times New Roman" w:cs="Times New Roman"/>
                <w:bCs/>
                <w:lang w:val="en-US"/>
              </w:rPr>
              <w:t>X</w:t>
            </w:r>
            <w:r w:rsidRPr="007020C2">
              <w:rPr>
                <w:rFonts w:ascii="Times New Roman" w:hAnsi="Times New Roman" w:cs="Times New Roman"/>
                <w:bCs/>
              </w:rPr>
              <w:t>:</w:t>
            </w:r>
          </w:p>
          <w:p w:rsidR="000A29B0" w:rsidRPr="007020C2" w:rsidRDefault="000A29B0" w:rsidP="00E0767B">
            <w:pPr>
              <w:spacing w:after="100" w:line="240" w:lineRule="auto"/>
              <w:ind w:left="34" w:firstLine="425"/>
              <w:jc w:val="both"/>
              <w:rPr>
                <w:rFonts w:ascii="Times New Roman" w:hAnsi="Times New Roman" w:cs="Times New Roman"/>
                <w:bCs/>
              </w:rPr>
            </w:pPr>
            <w:r w:rsidRPr="007020C2">
              <w:rPr>
                <w:rFonts w:ascii="Times New Roman" w:hAnsi="Times New Roman" w:cs="Times New Roman"/>
              </w:rPr>
              <w:t>((</w:t>
            </w:r>
            <w:r w:rsidRPr="007020C2">
              <w:rPr>
                <w:rFonts w:ascii="Times New Roman" w:hAnsi="Times New Roman" w:cs="Times New Roman"/>
                <w:lang w:val="en-US"/>
              </w:rPr>
              <w:t>r</w:t>
            </w:r>
            <w:r w:rsidRPr="007020C2">
              <w:rPr>
                <w:rFonts w:ascii="Times New Roman" w:hAnsi="Times New Roman" w:cs="Times New Roman"/>
                <w:bCs/>
              </w:rPr>
              <w:t>× Кз</w:t>
            </w:r>
            <w:r w:rsidRPr="007020C2">
              <w:rPr>
                <w:rFonts w:ascii="Times New Roman" w:hAnsi="Times New Roman" w:cs="Times New Roman"/>
                <w:bCs/>
                <w:vertAlign w:val="superscript"/>
                <w:lang w:val="en-US"/>
              </w:rPr>
              <w:t>max</w:t>
            </w:r>
            <w:r w:rsidRPr="007020C2">
              <w:rPr>
                <w:rFonts w:ascii="Times New Roman" w:hAnsi="Times New Roman" w:cs="Times New Roman"/>
              </w:rPr>
              <w:t>/100%) / (</w:t>
            </w:r>
            <w:r w:rsidRPr="007020C2">
              <w:rPr>
                <w:rFonts w:ascii="Times New Roman" w:hAnsi="Times New Roman" w:cs="Times New Roman"/>
                <w:lang w:val="en-US"/>
              </w:rPr>
              <w:t>h</w:t>
            </w:r>
            <w:r w:rsidRPr="007020C2">
              <w:rPr>
                <w:rFonts w:ascii="Times New Roman" w:hAnsi="Times New Roman" w:cs="Times New Roman"/>
                <w:bCs/>
              </w:rPr>
              <w:t>×</w:t>
            </w:r>
            <w:r w:rsidRPr="007020C2">
              <w:rPr>
                <w:rFonts w:ascii="Times New Roman" w:hAnsi="Times New Roman" w:cs="Times New Roman"/>
              </w:rPr>
              <w:t xml:space="preserve"> Кп))</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vertAlign w:val="superscript"/>
              </w:rPr>
              <w:t xml:space="preserve">2 </w:t>
            </w:r>
            <w:r w:rsidRPr="007020C2">
              <w:rPr>
                <w:rFonts w:ascii="Times New Roman" w:hAnsi="Times New Roman" w:cs="Times New Roman"/>
                <w:bCs/>
              </w:rPr>
              <w:t xml:space="preserve">– </w:t>
            </w:r>
            <w:r w:rsidRPr="007020C2">
              <w:rPr>
                <w:rFonts w:ascii="Times New Roman" w:hAnsi="Times New Roman" w:cs="Times New Roman"/>
              </w:rPr>
              <w:t>2</w:t>
            </w:r>
            <w:r w:rsidRPr="007020C2">
              <w:rPr>
                <w:rFonts w:ascii="Times New Roman" w:hAnsi="Times New Roman" w:cs="Times New Roman"/>
                <w:bCs/>
              </w:rPr>
              <w:t xml:space="preserve">× (1+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xml:space="preserve"> + 4×</w:t>
            </w:r>
            <w:r w:rsidRPr="007020C2">
              <w:rPr>
                <w:rFonts w:ascii="Times New Roman" w:hAnsi="Times New Roman" w:cs="Times New Roman"/>
                <w:lang w:val="en-US"/>
              </w:rPr>
              <w:t>h</w:t>
            </w:r>
            <w:r w:rsidRPr="007020C2">
              <w:rPr>
                <w:rFonts w:ascii="Times New Roman" w:hAnsi="Times New Roman" w:cs="Times New Roman"/>
                <w:bCs/>
              </w:rPr>
              <w:t>= 0,</w:t>
            </w:r>
          </w:p>
          <w:p w:rsidR="000A29B0" w:rsidRPr="007020C2" w:rsidRDefault="000A29B0" w:rsidP="00E0767B">
            <w:pPr>
              <w:spacing w:after="100" w:line="240" w:lineRule="auto"/>
              <w:ind w:firstLine="567"/>
              <w:jc w:val="both"/>
              <w:rPr>
                <w:rFonts w:ascii="Times New Roman" w:hAnsi="Times New Roman" w:cs="Times New Roman"/>
                <w:bCs/>
              </w:rPr>
            </w:pPr>
            <w:r w:rsidRPr="007020C2">
              <w:rPr>
                <w:rFonts w:ascii="Times New Roman" w:hAnsi="Times New Roman" w:cs="Times New Roman"/>
                <w:bCs/>
              </w:rPr>
              <w:t>решение которого определяетсяпо формуле:</w:t>
            </w:r>
          </w:p>
          <w:p w:rsidR="000A29B0" w:rsidRPr="007020C2" w:rsidRDefault="000A29B0" w:rsidP="00E0767B">
            <w:pPr>
              <w:spacing w:after="100" w:line="240" w:lineRule="auto"/>
              <w:ind w:firstLine="567"/>
              <w:jc w:val="both"/>
              <w:rPr>
                <w:rFonts w:ascii="Times New Roman" w:hAnsi="Times New Roman" w:cs="Times New Roman"/>
              </w:rPr>
            </w:pPr>
            <w:r w:rsidRPr="007020C2">
              <w:rPr>
                <w:rFonts w:ascii="Times New Roman" w:hAnsi="Times New Roman" w:cs="Times New Roman"/>
              </w:rPr>
              <w:t xml:space="preserve">Х = ( </w:t>
            </w:r>
            <w:r w:rsidR="00AE7596" w:rsidRPr="007020C2">
              <w:rPr>
                <w:rFonts w:ascii="Times New Roman" w:hAnsi="Times New Roman" w:cs="Times New Roman"/>
              </w:rPr>
              <w:t>–</w:t>
            </w:r>
            <w:r w:rsidRPr="007020C2">
              <w:rPr>
                <w:rFonts w:ascii="Times New Roman" w:hAnsi="Times New Roman" w:cs="Times New Roman"/>
                <w:lang w:val="en-US"/>
              </w:rPr>
              <w:t>b</w:t>
            </w:r>
            <w:r w:rsidRPr="007020C2">
              <w:rPr>
                <w:rFonts w:ascii="Times New Roman" w:hAnsi="Times New Roman" w:cs="Times New Roman"/>
              </w:rPr>
              <w:t xml:space="preserve"> + (в</w:t>
            </w:r>
            <w:r w:rsidRPr="007020C2">
              <w:rPr>
                <w:rFonts w:ascii="Times New Roman" w:hAnsi="Times New Roman" w:cs="Times New Roman"/>
                <w:vertAlign w:val="superscript"/>
              </w:rPr>
              <w:t xml:space="preserve">2 </w:t>
            </w:r>
            <w:r w:rsidRPr="007020C2">
              <w:rPr>
                <w:rFonts w:ascii="Times New Roman" w:hAnsi="Times New Roman" w:cs="Times New Roman"/>
              </w:rPr>
              <w:t xml:space="preserve">– 4 × а × </w:t>
            </w:r>
            <w:r w:rsidRPr="007020C2">
              <w:rPr>
                <w:rFonts w:ascii="Times New Roman" w:hAnsi="Times New Roman" w:cs="Times New Roman"/>
                <w:lang w:val="en-US"/>
              </w:rPr>
              <w:t>c</w:t>
            </w:r>
            <w:r w:rsidRPr="007020C2">
              <w:rPr>
                <w:rFonts w:ascii="Times New Roman" w:hAnsi="Times New Roman" w:cs="Times New Roman"/>
              </w:rPr>
              <w:t>)</w:t>
            </w:r>
            <w:r w:rsidRPr="007020C2">
              <w:rPr>
                <w:rFonts w:ascii="Times New Roman" w:hAnsi="Times New Roman" w:cs="Times New Roman"/>
                <w:vertAlign w:val="superscript"/>
              </w:rPr>
              <w:t>1/2</w:t>
            </w:r>
            <w:r w:rsidRPr="007020C2">
              <w:rPr>
                <w:rFonts w:ascii="Times New Roman" w:hAnsi="Times New Roman" w:cs="Times New Roman"/>
              </w:rPr>
              <w:t>) / (2 × а)</w:t>
            </w:r>
            <w:r w:rsidRPr="007020C2">
              <w:rPr>
                <w:rFonts w:ascii="Times New Roman" w:hAnsi="Times New Roman" w:cs="Times New Roman"/>
                <w:bCs/>
              </w:rPr>
              <w:t>,</w:t>
            </w:r>
          </w:p>
          <w:p w:rsidR="000A29B0" w:rsidRPr="007020C2" w:rsidRDefault="000A29B0" w:rsidP="00E0767B">
            <w:pPr>
              <w:spacing w:after="100" w:line="240" w:lineRule="auto"/>
              <w:ind w:firstLine="567"/>
              <w:jc w:val="both"/>
              <w:rPr>
                <w:rFonts w:ascii="Times New Roman" w:hAnsi="Times New Roman" w:cs="Times New Roman"/>
              </w:rPr>
            </w:pPr>
            <w:r w:rsidRPr="007020C2">
              <w:rPr>
                <w:rFonts w:ascii="Times New Roman" w:hAnsi="Times New Roman" w:cs="Times New Roman"/>
              </w:rPr>
              <w:t>где:   а = (</w:t>
            </w:r>
            <w:r w:rsidRPr="007020C2">
              <w:rPr>
                <w:rFonts w:ascii="Times New Roman" w:hAnsi="Times New Roman" w:cs="Times New Roman"/>
                <w:lang w:val="en-US"/>
              </w:rPr>
              <w:t>r</w:t>
            </w:r>
            <w:r w:rsidRPr="007020C2">
              <w:rPr>
                <w:rFonts w:ascii="Times New Roman" w:hAnsi="Times New Roman" w:cs="Times New Roman"/>
                <w:bCs/>
              </w:rPr>
              <w:t>× Кз</w:t>
            </w:r>
            <w:r w:rsidRPr="007020C2">
              <w:rPr>
                <w:rFonts w:ascii="Times New Roman" w:hAnsi="Times New Roman" w:cs="Times New Roman"/>
                <w:bCs/>
                <w:vertAlign w:val="superscript"/>
                <w:lang w:val="en-US"/>
              </w:rPr>
              <w:t>max</w:t>
            </w:r>
            <w:r w:rsidRPr="007020C2">
              <w:rPr>
                <w:rFonts w:ascii="Times New Roman" w:hAnsi="Times New Roman" w:cs="Times New Roman"/>
              </w:rPr>
              <w:t>/100%) / (</w:t>
            </w:r>
            <w:r w:rsidRPr="007020C2">
              <w:rPr>
                <w:rFonts w:ascii="Times New Roman" w:hAnsi="Times New Roman" w:cs="Times New Roman"/>
                <w:lang w:val="en-US"/>
              </w:rPr>
              <w:t>h</w:t>
            </w:r>
            <w:r w:rsidRPr="007020C2">
              <w:rPr>
                <w:rFonts w:ascii="Times New Roman" w:hAnsi="Times New Roman" w:cs="Times New Roman"/>
                <w:bCs/>
              </w:rPr>
              <w:t>×</w:t>
            </w:r>
            <w:r w:rsidRPr="007020C2">
              <w:rPr>
                <w:rFonts w:ascii="Times New Roman" w:hAnsi="Times New Roman" w:cs="Times New Roman"/>
              </w:rPr>
              <w:t xml:space="preserve"> Кп);</w:t>
            </w:r>
          </w:p>
          <w:p w:rsidR="000A29B0" w:rsidRPr="007020C2" w:rsidRDefault="000A29B0" w:rsidP="00E0767B">
            <w:pPr>
              <w:spacing w:after="100" w:line="240" w:lineRule="auto"/>
              <w:ind w:left="1134"/>
              <w:jc w:val="both"/>
              <w:rPr>
                <w:rFonts w:ascii="Times New Roman" w:hAnsi="Times New Roman" w:cs="Times New Roman"/>
              </w:rPr>
            </w:pPr>
            <w:r w:rsidRPr="007020C2">
              <w:rPr>
                <w:rFonts w:ascii="Times New Roman" w:hAnsi="Times New Roman" w:cs="Times New Roman"/>
                <w:lang w:val="en-US"/>
              </w:rPr>
              <w:t>b</w:t>
            </w:r>
            <w:r w:rsidRPr="007020C2">
              <w:rPr>
                <w:rFonts w:ascii="Times New Roman" w:hAnsi="Times New Roman" w:cs="Times New Roman"/>
              </w:rPr>
              <w:t xml:space="preserve"> = </w:t>
            </w:r>
            <w:r w:rsidR="00AE7596" w:rsidRPr="007020C2">
              <w:rPr>
                <w:rFonts w:ascii="Times New Roman" w:hAnsi="Times New Roman" w:cs="Times New Roman"/>
              </w:rPr>
              <w:t>–</w:t>
            </w:r>
            <w:r w:rsidRPr="007020C2">
              <w:rPr>
                <w:rFonts w:ascii="Times New Roman" w:hAnsi="Times New Roman" w:cs="Times New Roman"/>
              </w:rPr>
              <w:t xml:space="preserve">2 </w:t>
            </w:r>
            <w:r w:rsidRPr="007020C2">
              <w:rPr>
                <w:rFonts w:ascii="Times New Roman" w:hAnsi="Times New Roman" w:cs="Times New Roman"/>
                <w:bCs/>
              </w:rPr>
              <w:t>×</w:t>
            </w:r>
            <w:r w:rsidRPr="007020C2">
              <w:rPr>
                <w:rFonts w:ascii="Times New Roman" w:hAnsi="Times New Roman" w:cs="Times New Roman"/>
              </w:rPr>
              <w:t xml:space="preserve"> (1 + </w:t>
            </w:r>
            <w:r w:rsidRPr="007020C2">
              <w:rPr>
                <w:rFonts w:ascii="Times New Roman" w:hAnsi="Times New Roman" w:cs="Times New Roman"/>
                <w:lang w:val="en-US"/>
              </w:rPr>
              <w:t>r</w:t>
            </w:r>
            <w:r w:rsidRPr="007020C2">
              <w:rPr>
                <w:rFonts w:ascii="Times New Roman" w:hAnsi="Times New Roman" w:cs="Times New Roman"/>
              </w:rPr>
              <w:t>);</w:t>
            </w:r>
          </w:p>
          <w:p w:rsidR="000A29B0" w:rsidRPr="007020C2" w:rsidRDefault="000A29B0" w:rsidP="00E0767B">
            <w:pPr>
              <w:spacing w:after="100" w:line="240" w:lineRule="auto"/>
              <w:ind w:left="1134"/>
              <w:jc w:val="both"/>
              <w:rPr>
                <w:rFonts w:ascii="Times New Roman" w:hAnsi="Times New Roman" w:cs="Times New Roman"/>
              </w:rPr>
            </w:pPr>
            <w:r w:rsidRPr="007020C2">
              <w:rPr>
                <w:rFonts w:ascii="Times New Roman" w:hAnsi="Times New Roman" w:cs="Times New Roman"/>
                <w:lang w:val="en-US"/>
              </w:rPr>
              <w:t>c</w:t>
            </w:r>
            <w:r w:rsidRPr="007020C2">
              <w:rPr>
                <w:rFonts w:ascii="Times New Roman" w:hAnsi="Times New Roman" w:cs="Times New Roman"/>
              </w:rPr>
              <w:t xml:space="preserve"> = 4 </w:t>
            </w:r>
            <w:r w:rsidRPr="007020C2">
              <w:rPr>
                <w:rFonts w:ascii="Times New Roman" w:hAnsi="Times New Roman" w:cs="Times New Roman"/>
                <w:bCs/>
              </w:rPr>
              <w:t xml:space="preserve">× </w:t>
            </w:r>
            <w:r w:rsidRPr="007020C2">
              <w:rPr>
                <w:rFonts w:ascii="Times New Roman" w:hAnsi="Times New Roman" w:cs="Times New Roman"/>
                <w:lang w:val="en-US"/>
              </w:rPr>
              <w:t>h</w:t>
            </w:r>
            <w:r w:rsidRPr="007020C2">
              <w:rPr>
                <w:rFonts w:ascii="Times New Roman" w:hAnsi="Times New Roman" w:cs="Times New Roman"/>
              </w:rPr>
              <w:t>.</w:t>
            </w:r>
          </w:p>
          <w:p w:rsidR="000A29B0" w:rsidRPr="007020C2" w:rsidRDefault="000A29B0" w:rsidP="006B3DE9">
            <w:pPr>
              <w:spacing w:after="0" w:line="240" w:lineRule="auto"/>
              <w:ind w:firstLine="272"/>
              <w:jc w:val="both"/>
              <w:rPr>
                <w:rFonts w:ascii="Times New Roman" w:hAnsi="Times New Roman" w:cs="Times New Roman"/>
                <w:szCs w:val="24"/>
              </w:rPr>
            </w:pPr>
            <w:r w:rsidRPr="007020C2">
              <w:rPr>
                <w:rFonts w:ascii="Times New Roman" w:hAnsi="Times New Roman" w:cs="Times New Roman"/>
                <w:bCs/>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2.1.14</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Проектирование жилых кварталов с площадью не более 3 га, рекомендовано [1] (см. раздел I, подраздел 1, п.1.5).</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озеленённой территорией в таблице 3 установлена по [1] (см. раздел I, подраздел 5, п.5.17 и таблица № 33). Значения для озеленённых территорий общего пользования установлены по данным строки 9 таблиц №№ 7, 13, 22, 28, 31, 32  [1].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площадь парков установлена в соответствии с [1] (см. раздел I, подраздел 5, п.5.16) и с [3] (см. п. 5.11).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Пешеходная доступность бульвара, сквера или парка установлена с учетом [1] (см. раздел I, подраздел 6, п.6.9 и таблица № 34) и [2]  (см. п. 9.9).</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2.2.4</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Доступность зон массового отдыха населения установлена с учетом [2]  (см. п. 9.7) и размеров территории городского округа.</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2.3.1 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5</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земельного участка в таблице 4 установлена по [1] (см. раздел I, подраздел 2,  п. 2.3 и таблица № 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таблицы 7, 8 и 9</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17C1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территорией для размещения объектов в таблице 6 установлен в соответствии c [1] (см. раздел I, подраздел 1, п. 5.5 и таблицы №№ 7, 13, 22, 28, 31, 32).</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2.4.7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торговыми объектами местного значения установлена в соответствии с [8].</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17C10">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w:t>
            </w:r>
            <w:r w:rsidR="00F17C10" w:rsidRPr="007020C2">
              <w:rPr>
                <w:rFonts w:ascii="Times New Roman" w:eastAsia="Times New Roman" w:hAnsi="Times New Roman" w:cs="Times New Roman"/>
                <w:lang w:eastAsia="ru-RU"/>
              </w:rPr>
              <w:t>8</w:t>
            </w:r>
          </w:p>
          <w:p w:rsidR="00F17C10" w:rsidRPr="007020C2" w:rsidRDefault="00F17C10" w:rsidP="00C527CC">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w:t>
            </w:r>
            <w:r w:rsidR="00C527CC" w:rsidRPr="007020C2">
              <w:rPr>
                <w:rFonts w:ascii="Times New Roman" w:eastAsia="Times New Roman" w:hAnsi="Times New Roman" w:cs="Times New Roman"/>
                <w:lang w:eastAsia="ru-RU"/>
              </w:rPr>
              <w:t>а</w:t>
            </w:r>
            <w:r w:rsidRPr="007020C2">
              <w:rPr>
                <w:rFonts w:ascii="Times New Roman" w:eastAsia="Times New Roman" w:hAnsi="Times New Roman" w:cs="Times New Roman"/>
                <w:lang w:eastAsia="ru-RU"/>
              </w:rPr>
              <w:t xml:space="preserve"> 12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7F430F" w:rsidRPr="007020C2">
              <w:rPr>
                <w:rFonts w:ascii="Times New Roman" w:eastAsia="Times New Roman" w:hAnsi="Times New Roman" w:cs="Times New Roman"/>
                <w:lang w:eastAsia="ru-RU"/>
              </w:rPr>
              <w:t xml:space="preserve">  [10]</w:t>
            </w:r>
            <w:r w:rsidRPr="007020C2">
              <w:rPr>
                <w:rFonts w:ascii="Times New Roman" w:eastAsia="Times New Roman" w:hAnsi="Times New Roman" w:cs="Times New Roman"/>
                <w:lang w:eastAsia="ru-RU"/>
              </w:rPr>
              <w:t>.</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w:t>
            </w:r>
            <w:r w:rsidR="007F430F" w:rsidRPr="007020C2">
              <w:rPr>
                <w:rFonts w:ascii="Times New Roman" w:eastAsia="Times New Roman" w:hAnsi="Times New Roman" w:cs="Times New Roman"/>
                <w:lang w:eastAsia="ru-RU"/>
              </w:rPr>
              <w:t xml:space="preserve"> [11]</w:t>
            </w:r>
            <w:r w:rsidRPr="007020C2">
              <w:rPr>
                <w:rFonts w:ascii="Times New Roman" w:eastAsia="Times New Roman" w:hAnsi="Times New Roman" w:cs="Times New Roman"/>
                <w:lang w:eastAsia="ru-RU"/>
              </w:rPr>
              <w:t>.</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p w:rsidR="00F639AF" w:rsidRPr="007020C2" w:rsidRDefault="00F639AF" w:rsidP="00F26A2F">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Целевые показатели в области культуры и мероприятия, направленные  на их достижение, определены в «Муниципальной программе Богородского городского округа «Культура» на 2019</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2023 годы», утвержденной постановлением администрации Богородского городского округа от 29.12.2018 № 3803.</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2.4.9</w:t>
            </w:r>
          </w:p>
          <w:p w:rsidR="00F639AF" w:rsidRPr="007020C2" w:rsidRDefault="00F639AF" w:rsidP="00E0767B">
            <w:pPr>
              <w:spacing w:after="0" w:line="240" w:lineRule="auto"/>
              <w:ind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Приложение № 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Минимально рекомендуемые площади земельных участков для размещения на них объектов социального и коммунально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 установлены с учетом [2]  (см. приложение Д) и [9] (см. приложение П).</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2.4.10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пешеходная доступность от места жительства до объектов социального и коммунально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 установлена по [1] (см. раздел I, подраздел 6, п.6.9 и таблица № 34).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2.4.11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Максимальная доступность объекта общего образования для жителей сельского населенного пункта установлена по [1] (см. раздел I, подраздел 6, п.6.5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6.8).</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2.4.12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доступность дошкольной образовательной организации для жителей сельского населенного пункта установлена по аналогии с доступностью объектов общего образования и учетом размеров территории городского поселения.</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Расчетный уровень автомобилизации установлен по [1] (см. раздел I, подраздел 5, п.5.10).</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Плотность улично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 Рудс с прямоугольной структурой кварталов определяется по формуле:</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Рудс = Lудс / Sкв = ((X+d)+(Y+d)) / ((X+d)×(Y+d)),</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где  Sкв – площадь квартала;</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Lудс – длина участка улицы, обслуживающей квартал;</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Sудс – площадь участка улицы, обслуживающей квартал;</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Y – длина квартала;</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X – ширина квартала;</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d – ширина улицы.</w:t>
            </w:r>
          </w:p>
          <w:p w:rsidR="00F639AF" w:rsidRPr="007020C2" w:rsidRDefault="00F639AF" w:rsidP="00B54747">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плотность улично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 кварталов многоквартирной жилой и общественно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деловой застройки в городе Ногинске Рудс = 7,5 км/км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установлена с учетом [1] (см. раздел I, подраздел 1, п.1.5) и сложившихся параметров кварталов, исходя из размера квартала X = 0,15÷0,25 км, Y = 0,20÷0,40 км и ширины улицы d = 0,02÷0,03 км при застройке многоквартирными домами.</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2.5.3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Пешеходная доступность от места жительства до ближайшей остановки пассажирского транспорта установлена по [1] (см. раздел I, подраздел 6, п.6.9 и таблица № 34, последняя строка).</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2.5.4</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14</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дальность пешеходных подходов от объектов массового посещения до ближайшей остановки транспорта общего пользования установлена по [1] (см. раздел I, подраздел 6, п.6.10 и таблица № 35).</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2.5.6</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15</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Параметры объектов улично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 установлены с учетом [2] (см. п. 11.5, п. 11.6 и приложение Е) и [9](см. п. 10.13 и п. 10.17, таблицы 6 и 8).</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2.5.7</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16</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Показатель минимальной площади территории для хранения индивидуального автомобильного транспорта в границах квартала и жилого район в расчете на жителя многоквартирного дома различной этажности установлен в соответствии c [1] (см. раздел I, подраздел 5, п.5.5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5.6 и таблицы №№ 7, 13, 22 строки 1 и 13). Так при этажности 8 показатель для квартала 2,06+1,3=3,4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для жилого района 2,06+1,3+3,12=6,5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В сельских населенных пунктах  8,5+1,9 = 10,4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2.5.8</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2.5.9</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Расчетные показатели обеспеченности машино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местами (парковочными местами)  жителей многоквартирных домов установлены по [1] (см раздел I, подраздел 5, п.5.12).</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размер земельных участков многоэтажных гаражей установлен с учетом [2] (см. п. 11.37).</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2.5.14</w:t>
            </w:r>
          </w:p>
          <w:p w:rsidR="00F639AF" w:rsidRPr="007020C2" w:rsidRDefault="00F639AF" w:rsidP="000810D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w:t>
            </w:r>
            <w:r w:rsidR="000810DE" w:rsidRPr="007020C2">
              <w:rPr>
                <w:rFonts w:ascii="Times New Roman" w:eastAsia="Times New Roman" w:hAnsi="Times New Roman" w:cs="Times New Roman"/>
                <w:lang w:eastAsia="ru-RU"/>
              </w:rPr>
              <w:t>8</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Расчетные показатели вместимости приобъектных стоянок установлены с учетом [2] (см. приложение Ж).</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2.5.16</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Расчетная площадь одного парковочного места установлена по [1] (см. раздел I, подраздел 5, п.5.11).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удельная площадь земельного участка для автозаправочных станций установлена с учетом [2] (см. п. 11.41).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2.5.18</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2.5.19</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2.5.20</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Показатели для велосипедных дорожек и стоянок установлены по [1] (см. раздел I, подраздел 5, п.5.20)</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территорией для размещение объектов инженерной инфраструктуры установлена c учетом [1] (см. раздел I, подраздел 5 п. 5.5 и таблиц №№ 7, 13, 22, 28, 31, 32, строка 2).</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2.6.3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20</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Показатели обеспечения жителей городского округа объектами газоснабжения принимаются в соответствии с [4].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размеры земельных участков для размещения водоочистных сооружений установлены с учетом [9] (см. п. 11.4).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размеры земельных участков для размещения понизительных подстанций установлены с учетом [9] (см. п. 11.7).</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размеры земельных участков для размещения котельных установлены с учетом [2] (см. п. 12.27) и [9] (см. п. 11.10).</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2.7.2</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удельная площадь придомовой территории 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 связана с максимальным коэффициентом застройки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и средней этажностью многоквартирного дома 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формулой:</w:t>
            </w:r>
          </w:p>
          <w:p w:rsidR="00F639AF" w:rsidRPr="007020C2" w:rsidRDefault="00F639AF" w:rsidP="00E0767B">
            <w:pPr>
              <w:spacing w:after="100" w:line="240" w:lineRule="auto"/>
              <w:ind w:left="-11"/>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 = 1 /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 </w:t>
            </w:r>
            <w:r w:rsidRPr="007020C2">
              <w:rPr>
                <w:rFonts w:ascii="Times New Roman" w:eastAsia="Times New Roman" w:hAnsi="Times New Roman" w:cs="Times New Roman"/>
                <w:lang w:eastAsia="ru-RU"/>
              </w:rPr>
              <w:t>/100× 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 k ),</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где k – отношение площади квартир на этаже к площади этажа в габаритах наружных стен, k≈0,75.</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K</w:t>
            </w:r>
            <w:r w:rsidRPr="007020C2">
              <w:rPr>
                <w:rFonts w:ascii="Times New Roman" w:eastAsia="Times New Roman" w:hAnsi="Times New Roman" w:cs="Times New Roman"/>
                <w:vertAlign w:val="subscript"/>
                <w:lang w:eastAsia="ru-RU"/>
              </w:rPr>
              <w:t>з кв</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 K</w:t>
            </w:r>
            <w:r w:rsidRPr="007020C2">
              <w:rPr>
                <w:rFonts w:ascii="Times New Roman" w:eastAsia="Times New Roman" w:hAnsi="Times New Roman" w:cs="Times New Roman"/>
                <w:vertAlign w:val="subscript"/>
                <w:lang w:eastAsia="ru-RU"/>
              </w:rPr>
              <w:t>з кв</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получаем:</w:t>
            </w:r>
          </w:p>
          <w:p w:rsidR="00F639AF" w:rsidRPr="007020C2" w:rsidRDefault="00F639AF" w:rsidP="00E0767B">
            <w:pPr>
              <w:spacing w:after="100" w:line="240" w:lineRule="auto"/>
              <w:ind w:left="-11"/>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 1 / (K</w:t>
            </w:r>
            <w:r w:rsidRPr="007020C2">
              <w:rPr>
                <w:rFonts w:ascii="Times New Roman" w:eastAsia="Times New Roman" w:hAnsi="Times New Roman" w:cs="Times New Roman"/>
                <w:vertAlign w:val="subscript"/>
                <w:lang w:eastAsia="ru-RU"/>
              </w:rPr>
              <w:t>з кв</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/100 × 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 k ).</w:t>
            </w:r>
          </w:p>
          <w:p w:rsidR="00F639AF" w:rsidRPr="007020C2" w:rsidRDefault="00F639AF" w:rsidP="00E0767B">
            <w:pPr>
              <w:spacing w:after="100" w:line="240" w:lineRule="auto"/>
              <w:ind w:left="-11"/>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 (</w:t>
            </w:r>
            <w:r w:rsidR="004E52FA" w:rsidRPr="007020C2">
              <w:rPr>
                <w:rFonts w:ascii="Times New Roman" w:eastAsia="Times New Roman" w:hAnsi="Times New Roman" w:cs="Times New Roman"/>
                <w:lang w:eastAsia="ru-RU"/>
              </w:rPr>
              <w:t>3</w:t>
            </w:r>
            <w:r w:rsidRPr="007020C2">
              <w:rPr>
                <w:rFonts w:ascii="Times New Roman" w:eastAsia="Times New Roman" w:hAnsi="Times New Roman" w:cs="Times New Roman"/>
                <w:lang w:eastAsia="ru-RU"/>
              </w:rPr>
              <w:t>) = 1 / (</w:t>
            </w:r>
            <w:r w:rsidR="004E52FA" w:rsidRPr="007020C2">
              <w:rPr>
                <w:rFonts w:ascii="Times New Roman" w:eastAsia="Times New Roman" w:hAnsi="Times New Roman" w:cs="Times New Roman"/>
                <w:lang w:eastAsia="ru-RU"/>
              </w:rPr>
              <w:t>0</w:t>
            </w:r>
            <w:r w:rsidRPr="007020C2">
              <w:rPr>
                <w:rFonts w:ascii="Times New Roman" w:eastAsia="Times New Roman" w:hAnsi="Times New Roman" w:cs="Times New Roman"/>
                <w:lang w:eastAsia="ru-RU"/>
              </w:rPr>
              <w:t>,</w:t>
            </w:r>
            <w:r w:rsidR="004E52FA" w:rsidRPr="007020C2">
              <w:rPr>
                <w:rFonts w:ascii="Times New Roman" w:eastAsia="Times New Roman" w:hAnsi="Times New Roman" w:cs="Times New Roman"/>
                <w:lang w:eastAsia="ru-RU"/>
              </w:rPr>
              <w:t>341</w:t>
            </w:r>
            <w:r w:rsidRPr="007020C2">
              <w:rPr>
                <w:rFonts w:ascii="Times New Roman" w:eastAsia="Times New Roman" w:hAnsi="Times New Roman" w:cs="Times New Roman"/>
                <w:lang w:eastAsia="ru-RU"/>
              </w:rPr>
              <w:t xml:space="preserve"> × </w:t>
            </w:r>
            <w:r w:rsidR="004E52FA" w:rsidRPr="007020C2">
              <w:rPr>
                <w:rFonts w:ascii="Times New Roman" w:eastAsia="Times New Roman" w:hAnsi="Times New Roman" w:cs="Times New Roman"/>
                <w:lang w:eastAsia="ru-RU"/>
              </w:rPr>
              <w:t>3</w:t>
            </w:r>
            <w:r w:rsidRPr="007020C2">
              <w:rPr>
                <w:rFonts w:ascii="Times New Roman" w:eastAsia="Times New Roman" w:hAnsi="Times New Roman" w:cs="Times New Roman"/>
                <w:lang w:eastAsia="ru-RU"/>
              </w:rPr>
              <w:t xml:space="preserve"> × 0,75 ) = 1,3</w:t>
            </w:r>
            <w:r w:rsidR="004E52FA" w:rsidRPr="007020C2">
              <w:rPr>
                <w:rFonts w:ascii="Times New Roman" w:eastAsia="Times New Roman" w:hAnsi="Times New Roman" w:cs="Times New Roman"/>
                <w:lang w:eastAsia="ru-RU"/>
              </w:rPr>
              <w:t>0</w:t>
            </w:r>
            <w:r w:rsidRPr="007020C2">
              <w:rPr>
                <w:rFonts w:ascii="Times New Roman" w:eastAsia="Times New Roman" w:hAnsi="Times New Roman" w:cs="Times New Roman"/>
                <w:lang w:eastAsia="ru-RU"/>
              </w:rPr>
              <w:t>.</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Минимальная удельная площадь территории для организации стоянок индивидуального автомобильного транспорта рассчитана по данным [1] (см. строки 1 и 14 таблиц </w:t>
            </w:r>
            <w:r w:rsidR="0022236E" w:rsidRPr="007020C2">
              <w:rPr>
                <w:rFonts w:ascii="Times New Roman" w:eastAsia="Times New Roman" w:hAnsi="Times New Roman" w:cs="Times New Roman"/>
                <w:lang w:eastAsia="ru-RU"/>
              </w:rPr>
              <w:t>№№ 7, 13, 22</w:t>
            </w:r>
            <w:r w:rsidRPr="007020C2">
              <w:rPr>
                <w:rFonts w:ascii="Times New Roman" w:eastAsia="Times New Roman" w:hAnsi="Times New Roman" w:cs="Times New Roman"/>
                <w:lang w:eastAsia="ru-RU"/>
              </w:rPr>
              <w:t>) о минимально необходимой площади территории объектов для хранения индивидуального автомобильного транспорта при жилищной обеспеченности 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 (2,</w:t>
            </w:r>
            <w:r w:rsidR="0022236E" w:rsidRPr="007020C2">
              <w:rPr>
                <w:rFonts w:ascii="Times New Roman" w:eastAsia="Times New Roman" w:hAnsi="Times New Roman" w:cs="Times New Roman"/>
                <w:lang w:eastAsia="ru-RU"/>
              </w:rPr>
              <w:t>98</w:t>
            </w:r>
            <w:r w:rsidRPr="007020C2">
              <w:rPr>
                <w:rFonts w:ascii="Times New Roman" w:eastAsia="Times New Roman" w:hAnsi="Times New Roman" w:cs="Times New Roman"/>
                <w:lang w:eastAsia="ru-RU"/>
              </w:rPr>
              <w:t>+1,</w:t>
            </w:r>
            <w:r w:rsidR="0022236E" w:rsidRPr="007020C2">
              <w:rPr>
                <w:rFonts w:ascii="Times New Roman" w:eastAsia="Times New Roman" w:hAnsi="Times New Roman" w:cs="Times New Roman"/>
                <w:lang w:eastAsia="ru-RU"/>
              </w:rPr>
              <w:t>5</w:t>
            </w:r>
            <w:r w:rsidRPr="007020C2">
              <w:rPr>
                <w:rFonts w:ascii="Times New Roman" w:eastAsia="Times New Roman" w:hAnsi="Times New Roman" w:cs="Times New Roman"/>
                <w:lang w:eastAsia="ru-RU"/>
              </w:rPr>
              <w:t>)/20 = 0,</w:t>
            </w:r>
            <w:r w:rsidR="0022236E" w:rsidRPr="007020C2">
              <w:rPr>
                <w:rFonts w:ascii="Times New Roman" w:eastAsia="Times New Roman" w:hAnsi="Times New Roman" w:cs="Times New Roman"/>
                <w:lang w:eastAsia="ru-RU"/>
              </w:rPr>
              <w:t>22</w:t>
            </w:r>
            <w:r w:rsidRPr="007020C2">
              <w:rPr>
                <w:rFonts w:ascii="Times New Roman" w:eastAsia="Times New Roman" w:hAnsi="Times New Roman" w:cs="Times New Roman"/>
                <w:lang w:eastAsia="ru-RU"/>
              </w:rPr>
              <w:t>, что соответствует обеспеченности парковочными местами на придомовой территории на уровне не ниже 100%×(</w:t>
            </w:r>
            <w:r w:rsidR="0022236E" w:rsidRPr="007020C2">
              <w:rPr>
                <w:rFonts w:ascii="Times New Roman" w:eastAsia="Times New Roman" w:hAnsi="Times New Roman" w:cs="Times New Roman"/>
                <w:lang w:eastAsia="ru-RU"/>
              </w:rPr>
              <w:t>2,98+1,5</w:t>
            </w:r>
            <w:r w:rsidRPr="007020C2">
              <w:rPr>
                <w:rFonts w:ascii="Times New Roman" w:eastAsia="Times New Roman" w:hAnsi="Times New Roman" w:cs="Times New Roman"/>
                <w:lang w:eastAsia="ru-RU"/>
              </w:rPr>
              <w:t xml:space="preserve">)/(22,5×0,42) = </w:t>
            </w:r>
            <w:r w:rsidR="0022236E" w:rsidRPr="007020C2">
              <w:rPr>
                <w:rFonts w:ascii="Times New Roman" w:eastAsia="Times New Roman" w:hAnsi="Times New Roman" w:cs="Times New Roman"/>
                <w:lang w:eastAsia="ru-RU"/>
              </w:rPr>
              <w:t>47</w:t>
            </w:r>
            <w:r w:rsidRPr="007020C2">
              <w:rPr>
                <w:rFonts w:ascii="Times New Roman" w:eastAsia="Times New Roman" w:hAnsi="Times New Roman" w:cs="Times New Roman"/>
                <w:lang w:eastAsia="ru-RU"/>
              </w:rPr>
              <w:t>,</w:t>
            </w:r>
            <w:r w:rsidR="0022236E" w:rsidRPr="007020C2">
              <w:rPr>
                <w:rFonts w:ascii="Times New Roman" w:eastAsia="Times New Roman" w:hAnsi="Times New Roman" w:cs="Times New Roman"/>
                <w:lang w:eastAsia="ru-RU"/>
              </w:rPr>
              <w:t>5</w:t>
            </w:r>
            <w:r w:rsidRPr="007020C2">
              <w:rPr>
                <w:rFonts w:ascii="Times New Roman" w:eastAsia="Times New Roman" w:hAnsi="Times New Roman" w:cs="Times New Roman"/>
                <w:lang w:eastAsia="ru-RU"/>
              </w:rPr>
              <w:t>%. Минимальная удельная площадь территории зеленых насаждений с площадками для отдыха, игр и спорта установлен</w:t>
            </w:r>
            <w:r w:rsidR="007F430F" w:rsidRPr="007020C2">
              <w:rPr>
                <w:rFonts w:ascii="Times New Roman" w:eastAsia="Times New Roman" w:hAnsi="Times New Roman" w:cs="Times New Roman"/>
                <w:lang w:eastAsia="ru-RU"/>
              </w:rPr>
              <w:t>а</w:t>
            </w:r>
            <w:r w:rsidRPr="007020C2">
              <w:rPr>
                <w:rFonts w:ascii="Times New Roman" w:eastAsia="Times New Roman" w:hAnsi="Times New Roman" w:cs="Times New Roman"/>
                <w:lang w:eastAsia="ru-RU"/>
              </w:rPr>
              <w:t xml:space="preserve"> исходя из нормы 6,9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на жителя при жилищной обеспеченности 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6,9/20= 0,345.</w:t>
            </w:r>
          </w:p>
          <w:p w:rsidR="00F639AF" w:rsidRPr="007020C2" w:rsidRDefault="00F639AF" w:rsidP="0022236E">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Для </w:t>
            </w:r>
            <w:r w:rsidR="0022236E" w:rsidRPr="007020C2">
              <w:rPr>
                <w:rFonts w:ascii="Times New Roman" w:eastAsia="Times New Roman" w:hAnsi="Times New Roman" w:cs="Times New Roman"/>
                <w:lang w:eastAsia="ru-RU"/>
              </w:rPr>
              <w:t>домов иной</w:t>
            </w:r>
            <w:r w:rsidRPr="007020C2">
              <w:rPr>
                <w:rFonts w:ascii="Times New Roman" w:eastAsia="Times New Roman" w:hAnsi="Times New Roman" w:cs="Times New Roman"/>
                <w:lang w:eastAsia="ru-RU"/>
              </w:rPr>
              <w:t xml:space="preserve"> этаж</w:t>
            </w:r>
            <w:r w:rsidR="0022236E" w:rsidRPr="007020C2">
              <w:rPr>
                <w:rFonts w:ascii="Times New Roman" w:eastAsia="Times New Roman" w:hAnsi="Times New Roman" w:cs="Times New Roman"/>
                <w:lang w:eastAsia="ru-RU"/>
              </w:rPr>
              <w:t>ности</w:t>
            </w:r>
            <w:r w:rsidRPr="007020C2">
              <w:rPr>
                <w:rFonts w:ascii="Times New Roman" w:eastAsia="Times New Roman" w:hAnsi="Times New Roman" w:cs="Times New Roman"/>
                <w:lang w:eastAsia="ru-RU"/>
              </w:rPr>
              <w:t xml:space="preserve"> минимальные удельные площади рассчитываются аналогично по описанному алгоритму.</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Минимальные расстояния от окон жилых и общественных зданий до придомовых площадок установлены с учетом [2] (см. п.7.5).</w:t>
            </w:r>
          </w:p>
        </w:tc>
      </w:tr>
      <w:tr w:rsidR="007C4C6F" w:rsidRPr="007020C2" w:rsidTr="0027779C">
        <w:trPr>
          <w:trHeight w:val="393"/>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2.7.8</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Размеры разворотных площадок тупиковых проездов устанавливаются с учетом [9] (см. п. 10.13).</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Расчетные показатели для кладбищ установлены по [1] (см. раздел I, подраздел 5, п.5.19.</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26A2F" w:rsidRPr="007020C2" w:rsidRDefault="00F26A2F" w:rsidP="00F639AF">
      <w:pPr>
        <w:spacing w:after="0" w:line="240" w:lineRule="auto"/>
        <w:textAlignment w:val="baseline"/>
        <w:rPr>
          <w:rFonts w:ascii="Times New Roman" w:eastAsia="Times New Roman" w:hAnsi="Times New Roman" w:cs="Times New Roman"/>
          <w:color w:val="666666"/>
          <w:sz w:val="24"/>
          <w:szCs w:val="24"/>
          <w:lang w:eastAsia="ru-RU"/>
        </w:rPr>
      </w:pP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25</w:t>
      </w:r>
    </w:p>
    <w:tbl>
      <w:tblPr>
        <w:tblW w:w="9923" w:type="dxa"/>
        <w:tblInd w:w="150" w:type="dxa"/>
        <w:tblCellMar>
          <w:left w:w="0" w:type="dxa"/>
          <w:right w:w="0" w:type="dxa"/>
        </w:tblCellMar>
        <w:tblLook w:val="04A0"/>
      </w:tblPr>
      <w:tblGrid>
        <w:gridCol w:w="597"/>
        <w:gridCol w:w="9326"/>
      </w:tblGrid>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п/п</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0767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Документы,</w:t>
            </w:r>
          </w:p>
          <w:p w:rsidR="00F639AF" w:rsidRPr="007020C2" w:rsidRDefault="00F639AF" w:rsidP="00E0767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использованные в материалах по обоснованию расчетных показателей</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1</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градостроительного проектирования Московской области (утв. постановлением Правительства Московской области от 17.08.2015 № 713/30).</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C36B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Свод правил 42.13330.2016 «СНиП 2.07.01</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89*. Градостроительство. Планировка и застройка городских и сельских поселений» (утв. </w:t>
            </w:r>
            <w:hyperlink r:id="rId13" w:history="1">
              <w:r w:rsidRPr="007020C2">
                <w:rPr>
                  <w:rFonts w:ascii="Times New Roman" w:eastAsia="Times New Roman" w:hAnsi="Times New Roman" w:cs="Times New Roman"/>
                  <w:bdr w:val="none" w:sz="0" w:space="0" w:color="auto" w:frame="1"/>
                  <w:lang w:eastAsia="ru-RU"/>
                </w:rPr>
                <w:t>приказом</w:t>
              </w:r>
            </w:hyperlink>
            <w:r w:rsidRPr="007020C2">
              <w:rPr>
                <w:rFonts w:ascii="Times New Roman" w:eastAsia="Times New Roman" w:hAnsi="Times New Roman" w:cs="Times New Roman"/>
                <w:lang w:eastAsia="ru-RU"/>
              </w:rPr>
              <w:t> Министерства строительства и жилищно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коммунального хозяйства РФ от 30.12.2016 № 1034/пр).</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3271EF" w:rsidP="00F639AF">
            <w:pPr>
              <w:spacing w:after="0" w:line="240" w:lineRule="auto"/>
              <w:textAlignment w:val="baseline"/>
              <w:rPr>
                <w:rFonts w:ascii="Times New Roman" w:eastAsia="Times New Roman" w:hAnsi="Times New Roman" w:cs="Times New Roman"/>
                <w:lang w:eastAsia="ru-RU"/>
              </w:rPr>
            </w:pPr>
            <w:hyperlink r:id="rId14" w:history="1">
              <w:r w:rsidR="00F639AF" w:rsidRPr="007020C2">
                <w:rPr>
                  <w:rFonts w:ascii="Times New Roman" w:eastAsia="Times New Roman" w:hAnsi="Times New Roman" w:cs="Times New Roman"/>
                  <w:bdr w:val="none" w:sz="0" w:space="0" w:color="auto" w:frame="1"/>
                  <w:lang w:eastAsia="ru-RU"/>
                </w:rPr>
                <w:t>Указания. Региональный парковый стандарт Московской области</w:t>
              </w:r>
            </w:hyperlink>
            <w:r w:rsidR="00F639AF" w:rsidRPr="007020C2">
              <w:rPr>
                <w:rFonts w:ascii="Times New Roman" w:eastAsia="Times New Roman" w:hAnsi="Times New Roman" w:cs="Times New Roman"/>
                <w:lang w:eastAsia="ru-RU"/>
              </w:rPr>
              <w:t> (утв. постановлением Правительства Московской области от 23.12.2013  № 1098/55)</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потребления природного газа населением при отсутствии приборов учета газа (утв. </w:t>
            </w:r>
            <w:hyperlink r:id="rId15" w:anchor="sub_0" w:history="1">
              <w:r w:rsidRPr="007020C2">
                <w:rPr>
                  <w:rFonts w:ascii="Times New Roman" w:eastAsia="Times New Roman" w:hAnsi="Times New Roman" w:cs="Times New Roman"/>
                  <w:bdr w:val="none" w:sz="0" w:space="0" w:color="auto" w:frame="1"/>
                  <w:lang w:eastAsia="ru-RU"/>
                </w:rPr>
                <w:t>постановлением</w:t>
              </w:r>
            </w:hyperlink>
            <w:r w:rsidRPr="007020C2">
              <w:rPr>
                <w:rFonts w:ascii="Times New Roman" w:eastAsia="Times New Roman" w:hAnsi="Times New Roman" w:cs="Times New Roman"/>
                <w:lang w:eastAsia="ru-RU"/>
              </w:rPr>
              <w:t> Правительства Московской области от 09.11.2006 № 1047/43).</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3271EF" w:rsidP="00AC36BF">
            <w:pPr>
              <w:spacing w:after="0" w:line="240" w:lineRule="auto"/>
              <w:textAlignment w:val="baseline"/>
              <w:rPr>
                <w:rFonts w:ascii="Times New Roman" w:eastAsia="Times New Roman" w:hAnsi="Times New Roman" w:cs="Times New Roman"/>
                <w:lang w:eastAsia="ru-RU"/>
              </w:rPr>
            </w:pPr>
            <w:hyperlink r:id="rId16" w:history="1">
              <w:r w:rsidR="00F639AF" w:rsidRPr="007020C2">
                <w:rPr>
                  <w:rFonts w:ascii="Times New Roman" w:eastAsia="Times New Roman" w:hAnsi="Times New Roman" w:cs="Times New Roman"/>
                  <w:lang w:eastAsia="ru-RU"/>
                </w:rPr>
                <w:t xml:space="preserve">Государственная программа Московской области «Архитектура и градостроительство Подмосковья» на 2017 </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2021 годы </w:t>
              </w:r>
            </w:hyperlink>
            <w:r w:rsidR="00F639AF" w:rsidRPr="007020C2">
              <w:rPr>
                <w:rFonts w:ascii="Times New Roman" w:eastAsia="Times New Roman" w:hAnsi="Times New Roman" w:cs="Times New Roman"/>
                <w:lang w:eastAsia="ru-RU"/>
              </w:rPr>
              <w:t> (утв. </w:t>
            </w:r>
            <w:hyperlink r:id="rId17" w:anchor="sub_0" w:history="1">
              <w:r w:rsidR="00F639AF" w:rsidRPr="007020C2">
                <w:rPr>
                  <w:rFonts w:ascii="Times New Roman" w:eastAsia="Times New Roman" w:hAnsi="Times New Roman" w:cs="Times New Roman"/>
                  <w:lang w:eastAsia="ru-RU"/>
                </w:rPr>
                <w:t>постановление</w:t>
              </w:r>
            </w:hyperlink>
            <w:r w:rsidR="00F639AF" w:rsidRPr="007020C2">
              <w:rPr>
                <w:rFonts w:ascii="Times New Roman" w:eastAsia="Times New Roman" w:hAnsi="Times New Roman" w:cs="Times New Roman"/>
                <w:lang w:eastAsia="ru-RU"/>
              </w:rPr>
              <w:t>м Правительства Московской области от 25.10.2016 № 791/39).</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3271EF" w:rsidP="00023C42">
            <w:pPr>
              <w:spacing w:after="0" w:line="240" w:lineRule="auto"/>
              <w:textAlignment w:val="baseline"/>
              <w:rPr>
                <w:rFonts w:ascii="Times New Roman" w:eastAsia="Times New Roman" w:hAnsi="Times New Roman" w:cs="Times New Roman"/>
                <w:lang w:eastAsia="ru-RU"/>
              </w:rPr>
            </w:pPr>
            <w:hyperlink r:id="rId18" w:history="1">
              <w:r w:rsidR="00F639AF" w:rsidRPr="007020C2">
                <w:rPr>
                  <w:rFonts w:ascii="Times New Roman" w:eastAsia="Times New Roman" w:hAnsi="Times New Roman" w:cs="Times New Roman"/>
                  <w:lang w:eastAsia="ru-RU"/>
                </w:rPr>
                <w:t>Государственная программа Московской области «Предпринимательство Подмосковья» </w:t>
              </w:r>
            </w:hyperlink>
            <w:r w:rsidR="00F639AF" w:rsidRPr="007020C2">
              <w:rPr>
                <w:rFonts w:ascii="Times New Roman" w:eastAsia="Times New Roman" w:hAnsi="Times New Roman" w:cs="Times New Roman"/>
                <w:lang w:eastAsia="ru-RU"/>
              </w:rPr>
              <w:t xml:space="preserve"> на 2017 </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202</w:t>
            </w:r>
            <w:r w:rsidR="00023C42">
              <w:rPr>
                <w:rFonts w:ascii="Times New Roman" w:eastAsia="Times New Roman" w:hAnsi="Times New Roman" w:cs="Times New Roman"/>
                <w:lang w:eastAsia="ru-RU"/>
              </w:rPr>
              <w:t>4</w:t>
            </w:r>
            <w:r w:rsidR="00F639AF" w:rsidRPr="007020C2">
              <w:rPr>
                <w:rFonts w:ascii="Times New Roman" w:eastAsia="Times New Roman" w:hAnsi="Times New Roman" w:cs="Times New Roman"/>
                <w:lang w:eastAsia="ru-RU"/>
              </w:rPr>
              <w:t xml:space="preserve"> годы (утв. </w:t>
            </w:r>
            <w:hyperlink r:id="rId19" w:anchor="sub_0" w:history="1">
              <w:r w:rsidR="00F639AF" w:rsidRPr="007020C2">
                <w:rPr>
                  <w:rFonts w:ascii="Times New Roman" w:eastAsia="Times New Roman" w:hAnsi="Times New Roman" w:cs="Times New Roman"/>
                  <w:lang w:eastAsia="ru-RU"/>
                </w:rPr>
                <w:t>постановление</w:t>
              </w:r>
            </w:hyperlink>
            <w:r w:rsidR="00F639AF" w:rsidRPr="007020C2">
              <w:rPr>
                <w:rFonts w:ascii="Times New Roman" w:eastAsia="Times New Roman" w:hAnsi="Times New Roman" w:cs="Times New Roman"/>
                <w:lang w:eastAsia="ru-RU"/>
              </w:rPr>
              <w:t>м Правительства Московской области от 25.10.2016 № 788/39).</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3271EF" w:rsidP="00023C42">
            <w:pPr>
              <w:spacing w:after="0" w:line="240" w:lineRule="auto"/>
              <w:textAlignment w:val="baseline"/>
              <w:rPr>
                <w:rFonts w:ascii="Times New Roman" w:eastAsia="Times New Roman" w:hAnsi="Times New Roman" w:cs="Times New Roman"/>
                <w:lang w:eastAsia="ru-RU"/>
              </w:rPr>
            </w:pPr>
            <w:hyperlink r:id="rId20" w:history="1">
              <w:r w:rsidR="00F639AF" w:rsidRPr="007020C2">
                <w:rPr>
                  <w:rFonts w:ascii="Times New Roman" w:eastAsia="Times New Roman" w:hAnsi="Times New Roman" w:cs="Times New Roman"/>
                  <w:lang w:eastAsia="ru-RU"/>
                </w:rPr>
                <w:t>Государственная программа Московской области «Спорт Подмосковья» </w:t>
              </w:r>
            </w:hyperlink>
            <w:r w:rsidR="00F639AF" w:rsidRPr="007020C2">
              <w:rPr>
                <w:rFonts w:ascii="Times New Roman" w:eastAsia="Times New Roman" w:hAnsi="Times New Roman" w:cs="Times New Roman"/>
                <w:lang w:eastAsia="ru-RU"/>
              </w:rPr>
              <w:t xml:space="preserve"> (утв. </w:t>
            </w:r>
            <w:hyperlink r:id="rId21" w:anchor="sub_0" w:history="1">
              <w:r w:rsidR="00F639AF" w:rsidRPr="007020C2">
                <w:rPr>
                  <w:rFonts w:ascii="Times New Roman" w:eastAsia="Times New Roman" w:hAnsi="Times New Roman" w:cs="Times New Roman"/>
                  <w:lang w:eastAsia="ru-RU"/>
                </w:rPr>
                <w:t>постановление</w:t>
              </w:r>
            </w:hyperlink>
            <w:r w:rsidR="00F639AF" w:rsidRPr="007020C2">
              <w:rPr>
                <w:rFonts w:ascii="Times New Roman" w:eastAsia="Times New Roman" w:hAnsi="Times New Roman" w:cs="Times New Roman"/>
                <w:lang w:eastAsia="ru-RU"/>
              </w:rPr>
              <w:t>м Правительства Московской области от 25.10.2016 № 786/39).</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23C42">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минимальной обеспеченности населения Московской области площадью торговых объектов значения (утв. </w:t>
            </w:r>
            <w:hyperlink r:id="rId22" w:anchor="sub_0" w:history="1">
              <w:r w:rsidRPr="007020C2">
                <w:rPr>
                  <w:rFonts w:ascii="Times New Roman" w:eastAsia="Times New Roman" w:hAnsi="Times New Roman" w:cs="Times New Roman"/>
                  <w:lang w:eastAsia="ru-RU"/>
                </w:rPr>
                <w:t>постановление</w:t>
              </w:r>
            </w:hyperlink>
            <w:r w:rsidRPr="007020C2">
              <w:rPr>
                <w:rFonts w:ascii="Times New Roman" w:eastAsia="Times New Roman" w:hAnsi="Times New Roman" w:cs="Times New Roman"/>
                <w:lang w:eastAsia="ru-RU"/>
              </w:rPr>
              <w:t>м Правительства Московской области от 28.03.2017 № 221/10).</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23C42">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Территориальные строительные нормы Московской области «Планировка и застройки городских и сельских поселений ТСН ПЗП</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99 МО (ТСН 30</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303</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2000)» </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3271EF" w:rsidP="00AC36BF">
            <w:pPr>
              <w:spacing w:after="0" w:line="240" w:lineRule="auto"/>
              <w:textAlignment w:val="baseline"/>
              <w:rPr>
                <w:rFonts w:ascii="Times New Roman" w:eastAsia="Times New Roman" w:hAnsi="Times New Roman" w:cs="Times New Roman"/>
                <w:lang w:eastAsia="ru-RU"/>
              </w:rPr>
            </w:pPr>
            <w:hyperlink r:id="rId23" w:history="1">
              <w:r w:rsidR="00F639AF" w:rsidRPr="007020C2">
                <w:rPr>
                  <w:rFonts w:ascii="Times New Roman" w:eastAsia="Times New Roman" w:hAnsi="Times New Roman" w:cs="Times New Roman"/>
                  <w:lang w:eastAsia="ru-RU"/>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639AF" w:rsidRPr="007020C2">
              <w:rPr>
                <w:rFonts w:ascii="Times New Roman" w:eastAsia="Times New Roman" w:hAnsi="Times New Roman" w:cs="Times New Roman"/>
                <w:lang w:eastAsia="ru-RU"/>
              </w:rPr>
              <w:t> (утв. </w:t>
            </w:r>
            <w:hyperlink r:id="rId24" w:history="1">
              <w:r w:rsidR="00F639AF" w:rsidRPr="007020C2">
                <w:rPr>
                  <w:rFonts w:ascii="Times New Roman" w:eastAsia="Times New Roman" w:hAnsi="Times New Roman" w:cs="Times New Roman"/>
                  <w:lang w:eastAsia="ru-RU"/>
                </w:rPr>
                <w:t>распоряжением Министерства культуры Российской Федерации от 02.08.2017 № Р</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965</w:t>
              </w:r>
            </w:hyperlink>
            <w:r w:rsidR="00F639AF" w:rsidRPr="007020C2">
              <w:rPr>
                <w:rFonts w:ascii="Times New Roman" w:eastAsia="Times New Roman" w:hAnsi="Times New Roman" w:cs="Times New Roman"/>
                <w:lang w:eastAsia="ru-RU"/>
              </w:rPr>
              <w:t>).</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B8681B" w:rsidP="00B8681B">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4. </w:t>
      </w:r>
      <w:r w:rsidR="00F639AF" w:rsidRPr="007020C2">
        <w:rPr>
          <w:rFonts w:ascii="Times New Roman" w:eastAsia="Times New Roman" w:hAnsi="Times New Roman" w:cs="Times New Roman"/>
          <w:b/>
          <w:bCs/>
          <w:sz w:val="24"/>
          <w:szCs w:val="24"/>
          <w:bdr w:val="none" w:sz="0" w:space="0" w:color="auto" w:frame="1"/>
          <w:lang w:eastAsia="ru-RU"/>
        </w:rPr>
        <w:t>Правила и область применения расчетных показателей, содержащихся в основной части нормативов градостроительного проектирования</w:t>
      </w:r>
    </w:p>
    <w:p w:rsidR="00F639AF" w:rsidRPr="007020C2" w:rsidRDefault="00F639AF" w:rsidP="00B8681B">
      <w:pPr>
        <w:spacing w:after="0" w:line="240" w:lineRule="auto"/>
        <w:jc w:val="center"/>
        <w:textAlignment w:val="baseline"/>
        <w:rPr>
          <w:rFonts w:ascii="Times New Roman" w:eastAsia="Times New Roman" w:hAnsi="Times New Roman" w:cs="Times New Roman"/>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 Действие расчетных показателей местных нормативов градостроительного проектирования распространяется на всю территорию Богородского городского округа Московской области, на правоотношения, возникшие после утверждения настоящих местных нормативов.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4.2.   Область применения расчетных показателей, содержащихся в основной части местных нормативов распространяется на: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согласование, утверждение генерального плана Богородского городского округа, внесение изменений в него;</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w:t>
      </w:r>
      <w:r w:rsidR="00F639AF" w:rsidRPr="007020C2">
        <w:rPr>
          <w:rFonts w:ascii="Times New Roman" w:eastAsia="Times New Roman" w:hAnsi="Times New Roman" w:cs="Times New Roman"/>
          <w:sz w:val="24"/>
          <w:szCs w:val="24"/>
          <w:lang w:eastAsia="ru-RU"/>
        </w:rPr>
        <w:t xml:space="preserve"> подготовку, утверждение документации по планировке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определение условий аукционов на право заключить договор о развитии застроенной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разработку и утверждение программ комплексного развития систем коммунальной, социальной и транспортной инфраструктур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градостроительного плана земельного участка;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местные нормативы.</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4.3.  На территории Богородского городского округа местные нормативы являются обязательными в области применения, описанной в п. 4.2, для всех субъектов градостроительной деятельности.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4.4. 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5" w:anchor="sub_1013" w:history="1">
        <w:r w:rsidRPr="007020C2">
          <w:rPr>
            <w:rFonts w:ascii="Times New Roman" w:eastAsia="Times New Roman" w:hAnsi="Times New Roman" w:cs="Times New Roman"/>
            <w:sz w:val="24"/>
            <w:szCs w:val="24"/>
            <w:lang w:eastAsia="ru-RU"/>
          </w:rPr>
          <w:t>строительства</w:t>
        </w:r>
      </w:hyperlink>
      <w:r w:rsidRPr="007020C2">
        <w:rPr>
          <w:rFonts w:ascii="Times New Roman" w:eastAsia="Times New Roman" w:hAnsi="Times New Roman" w:cs="Times New Roman"/>
          <w:sz w:val="24"/>
          <w:szCs w:val="24"/>
          <w:lang w:eastAsia="ru-RU"/>
        </w:rPr>
        <w:t> и </w:t>
      </w:r>
      <w:hyperlink r:id="rId26" w:anchor="sub_1014" w:history="1">
        <w:r w:rsidRPr="007020C2">
          <w:rPr>
            <w:rFonts w:ascii="Times New Roman" w:eastAsia="Times New Roman" w:hAnsi="Times New Roman" w:cs="Times New Roman"/>
            <w:sz w:val="24"/>
            <w:szCs w:val="24"/>
            <w:lang w:eastAsia="ru-RU"/>
          </w:rPr>
          <w:t>реконструкции</w:t>
        </w:r>
      </w:hyperlink>
      <w:r w:rsidRPr="007020C2">
        <w:rPr>
          <w:rFonts w:ascii="Times New Roman" w:eastAsia="Times New Roman" w:hAnsi="Times New Roman" w:cs="Times New Roman"/>
          <w:sz w:val="24"/>
          <w:szCs w:val="24"/>
          <w:lang w:eastAsia="ru-RU"/>
        </w:rPr>
        <w:t> </w:t>
      </w:r>
      <w:hyperlink r:id="rId27" w:anchor="sub_1010" w:history="1">
        <w:r w:rsidRPr="007020C2">
          <w:rPr>
            <w:rFonts w:ascii="Times New Roman" w:eastAsia="Times New Roman" w:hAnsi="Times New Roman" w:cs="Times New Roman"/>
            <w:sz w:val="24"/>
            <w:szCs w:val="24"/>
            <w:lang w:eastAsia="ru-RU"/>
          </w:rPr>
          <w:t>объектов капитального строительства</w:t>
        </w:r>
      </w:hyperlink>
      <w:r w:rsidRPr="007020C2">
        <w:rPr>
          <w:rFonts w:ascii="Times New Roman" w:eastAsia="Times New Roman" w:hAnsi="Times New Roman" w:cs="Times New Roman"/>
          <w:sz w:val="24"/>
          <w:szCs w:val="24"/>
          <w:lang w:eastAsia="ru-RU"/>
        </w:rPr>
        <w:t>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4.5.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договорах о развитии застроенных территорий;</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договорах о комплексном освоении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договорах о комплексном освоении территории в целях строительства жилья экономического класса;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условиях аукционов на право заключить договор о комплексном развитии территории по инициативе органа местного самоуправления.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4.6. Расчетные показатели местных нормативов могут применяться: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подготовке градостроительного плана земельного участка;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подготовке планов и программ комплексного социально</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экономического развития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w:t>
      </w:r>
      <w:r w:rsidR="00F639AF" w:rsidRPr="007020C2">
        <w:rPr>
          <w:rFonts w:ascii="Times New Roman" w:eastAsia="Times New Roman" w:hAnsi="Times New Roman" w:cs="Times New Roman"/>
          <w:sz w:val="24"/>
          <w:szCs w:val="24"/>
          <w:lang w:eastAsia="ru-RU"/>
        </w:rPr>
        <w:t> для принятия решений органами местного самоуправления Богородского городского округа, должностными лицами, осуществляющими контроль за градостроительной деятельностью на территории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генерального плана Богородского городского округа;</w:t>
      </w:r>
    </w:p>
    <w:p w:rsidR="006E4C17" w:rsidRPr="007020C2" w:rsidRDefault="006E4C17" w:rsidP="006E4C17">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правил землепользования и застройки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bookmarkStart w:id="0" w:name="_GoBack"/>
      <w:bookmarkEnd w:id="0"/>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определении границ земельного участка в целях установления границ населенного пункта, образуемого из лесного поселка, военного городка;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Богородского городского округа и расчетных показателей максимально допустимого уровня территориальной доступности таких объектов для населения Богородского городского округа.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4.7.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4.8. Применение местных нормативов при подготовке генерального плана Богородского городского округа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4.9.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4.10.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4.11.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4.12.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4.13. Правила применения расчетных показателей на примерах решения демонстрационных задач приведены в приложении № 2 к местным нормативам.</w:t>
      </w:r>
    </w:p>
    <w:p w:rsidR="00B70DDE"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B70DDE" w:rsidRPr="007020C2" w:rsidRDefault="00B70DDE">
      <w:pPr>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br w:type="page"/>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p>
    <w:p w:rsidR="00F639AF" w:rsidRPr="007020C2" w:rsidRDefault="00F639AF" w:rsidP="00B70DDE">
      <w:pPr>
        <w:spacing w:after="0" w:line="240" w:lineRule="auto"/>
        <w:ind w:left="5103"/>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Приложение № 1 к местным нормативам градостроительного проектирования Богородского городского округа Московской области</w:t>
      </w:r>
    </w:p>
    <w:p w:rsidR="00F639AF" w:rsidRPr="007020C2" w:rsidRDefault="00F639AF" w:rsidP="00B70DDE">
      <w:pPr>
        <w:spacing w:after="0" w:line="240" w:lineRule="auto"/>
        <w:ind w:left="5103"/>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(рекомендуемое)</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Минимальные площади земельных участков для размещения на территории Богородского городского округа объектов социального и коммунально</w:t>
      </w:r>
      <w:r w:rsidR="00AE7596" w:rsidRPr="007020C2">
        <w:rPr>
          <w:rFonts w:ascii="Times New Roman" w:eastAsia="Times New Roman" w:hAnsi="Times New Roman" w:cs="Times New Roman"/>
          <w:b/>
          <w:bCs/>
          <w:sz w:val="24"/>
          <w:szCs w:val="24"/>
          <w:bdr w:val="none" w:sz="0" w:space="0" w:color="auto" w:frame="1"/>
          <w:lang w:eastAsia="ru-RU"/>
        </w:rPr>
        <w:t>–</w:t>
      </w:r>
      <w:r w:rsidRPr="007020C2">
        <w:rPr>
          <w:rFonts w:ascii="Times New Roman" w:eastAsia="Times New Roman" w:hAnsi="Times New Roman" w:cs="Times New Roman"/>
          <w:b/>
          <w:bCs/>
          <w:sz w:val="24"/>
          <w:szCs w:val="24"/>
          <w:bdr w:val="none" w:sz="0" w:space="0" w:color="auto" w:frame="1"/>
          <w:lang w:eastAsia="ru-RU"/>
        </w:rPr>
        <w:t>бытового назначения</w:t>
      </w:r>
    </w:p>
    <w:tbl>
      <w:tblPr>
        <w:tblW w:w="9781" w:type="dxa"/>
        <w:tblInd w:w="150" w:type="dxa"/>
        <w:tblLayout w:type="fixed"/>
        <w:tblCellMar>
          <w:left w:w="0" w:type="dxa"/>
          <w:right w:w="0" w:type="dxa"/>
        </w:tblCellMar>
        <w:tblLook w:val="04A0"/>
      </w:tblPr>
      <w:tblGrid>
        <w:gridCol w:w="634"/>
        <w:gridCol w:w="3194"/>
        <w:gridCol w:w="1559"/>
        <w:gridCol w:w="1843"/>
        <w:gridCol w:w="1233"/>
        <w:gridCol w:w="1318"/>
      </w:tblGrid>
      <w:tr w:rsidR="00E567AD" w:rsidRPr="007020C2" w:rsidTr="00E567AD">
        <w:trPr>
          <w:tblHeader/>
        </w:trPr>
        <w:tc>
          <w:tcPr>
            <w:tcW w:w="6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п/п</w:t>
            </w:r>
          </w:p>
        </w:tc>
        <w:tc>
          <w:tcPr>
            <w:tcW w:w="319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Наименование объектов социального и коммунально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Единица измерения</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Характеристика (вместимость, мощность, пропускная способность) объектов</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площадь земельного участка на единицу измерения</w:t>
            </w:r>
          </w:p>
        </w:tc>
      </w:tr>
      <w:tr w:rsidR="00E567AD" w:rsidRPr="007020C2" w:rsidTr="00E567AD">
        <w:trPr>
          <w:tblHeader/>
        </w:trPr>
        <w:tc>
          <w:tcPr>
            <w:tcW w:w="6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31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2</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га</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Дошкольные образовательные организации общего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100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Общеобразовательные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600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33</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Школы</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интернаты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300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Поликлиники, амбулатории, центры общей врачебные практики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посещений в смену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 и не менее 0,3   га на объект</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Стационары всех типов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Койка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50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Аптеки базовые;</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аптеки, встроенные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Станции скорой медицинской помощи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4B4624" w:rsidP="004B4624">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w:t>
            </w:r>
            <w:r w:rsidR="00F639AF" w:rsidRPr="007020C2">
              <w:rPr>
                <w:rFonts w:ascii="Times New Roman" w:eastAsia="Times New Roman" w:hAnsi="Times New Roman" w:cs="Times New Roman"/>
                <w:lang w:eastAsia="ru-RU"/>
              </w:rPr>
              <w:t>пециальный автомобиль</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0,07 и</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не менее 0,1 на объект</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Дома</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интернаты (пансионаты) общего типа для граждан пожилого  возраста (престарелых) и инвалидов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Дома сестринского ухода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Койка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0,6</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1,2</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Социально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реабилитационные </w:t>
            </w:r>
            <w:r w:rsidRPr="007020C2">
              <w:rPr>
                <w:rFonts w:ascii="Times New Roman" w:eastAsia="Times New Roman" w:hAnsi="Times New Roman" w:cs="Times New Roman"/>
                <w:lang w:eastAsia="ru-RU"/>
              </w:rPr>
              <w:lastRenderedPageBreak/>
              <w:t>центры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11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центры, предприятия торговли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250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650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0,08</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0,08</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0,06</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Рынки розничной торговли</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600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Рынки сельскохозяйственной продукции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общественного питания:</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отдельных зданиях;</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  встроенных зданиях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более 150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E567AD">
            <w:pPr>
              <w:spacing w:after="0" w:line="240" w:lineRule="auto"/>
              <w:ind w:left="-150" w:right="-192"/>
              <w:jc w:val="center"/>
              <w:textAlignment w:val="baseline"/>
              <w:rPr>
                <w:rFonts w:ascii="Times New Roman" w:eastAsia="Times New Roman" w:hAnsi="Times New Roman" w:cs="Times New Roman"/>
                <w:lang w:eastAsia="ru-RU"/>
              </w:rPr>
            </w:pPr>
          </w:p>
          <w:p w:rsidR="00E567AD" w:rsidRPr="007020C2" w:rsidRDefault="00E567AD"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0,25</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Учреждения культуры клубного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0,3</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Библиотеки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Культовые здания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тыс. 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бытового обслуживания:</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отдельных зданиях;</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 встроенных помещениях или  пристроенных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Рабочее место</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10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0,2</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Бани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0,4</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Прачечные, химчистки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Жилищно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эксплуатационные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Общественные туалеты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Стадионы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Плоскостные спортивные сооружения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lastRenderedPageBreak/>
              <w:t>25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Спортивные залы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0,5</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E45CC8"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E45CC8" w:rsidRPr="007020C2" w:rsidRDefault="00E45CC8">
      <w:pPr>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br w:type="page"/>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p>
    <w:p w:rsidR="00F639AF" w:rsidRPr="007020C2" w:rsidRDefault="00F639AF" w:rsidP="00E45CC8">
      <w:pPr>
        <w:spacing w:after="0" w:line="240" w:lineRule="auto"/>
        <w:ind w:left="5103"/>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Приложение № 2 к местным нормативам градостроительного проектирования Богородского городского округа Московской области</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45CC8">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Правила применения расчетных показателей на примерах</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b/>
          <w:bCs/>
          <w:color w:val="666666"/>
          <w:sz w:val="24"/>
          <w:szCs w:val="24"/>
          <w:bdr w:val="none" w:sz="0" w:space="0" w:color="auto" w:frame="1"/>
          <w:lang w:eastAsia="ru-RU"/>
        </w:rPr>
        <w:t>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Пример 1</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Дано</w:t>
      </w:r>
      <w:r w:rsidRPr="007020C2">
        <w:rPr>
          <w:rFonts w:ascii="Times New Roman" w:eastAsia="Times New Roman" w:hAnsi="Times New Roman" w:cs="Times New Roman"/>
          <w:sz w:val="24"/>
          <w:szCs w:val="24"/>
          <w:lang w:eastAsia="ru-RU"/>
        </w:rPr>
        <w:t>: в городе на территории жилого квартала площадью Sкв = 27000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размещено 7 многоквартирных жилых домов со следующими параметрами:</w:t>
      </w:r>
    </w:p>
    <w:tbl>
      <w:tblPr>
        <w:tblW w:w="5954" w:type="dxa"/>
        <w:tblInd w:w="150" w:type="dxa"/>
        <w:tblCellMar>
          <w:left w:w="0" w:type="dxa"/>
          <w:right w:w="0" w:type="dxa"/>
        </w:tblCellMar>
        <w:tblLook w:val="04A0"/>
      </w:tblPr>
      <w:tblGrid>
        <w:gridCol w:w="1701"/>
        <w:gridCol w:w="2127"/>
        <w:gridCol w:w="2126"/>
      </w:tblGrid>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Индекс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i = 1, 2, …n</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застройки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Sз </w:t>
            </w:r>
            <w:r w:rsidRPr="007020C2">
              <w:rPr>
                <w:rFonts w:ascii="Times New Roman" w:eastAsia="Times New Roman" w:hAnsi="Times New Roman" w:cs="Times New Roman"/>
                <w:vertAlign w:val="subscript"/>
                <w:lang w:eastAsia="ru-RU"/>
              </w:rPr>
              <w:t>i</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Nэт</w:t>
            </w:r>
            <w:r w:rsidRPr="007020C2">
              <w:rPr>
                <w:rFonts w:ascii="Times New Roman" w:eastAsia="Times New Roman" w:hAnsi="Times New Roman" w:cs="Times New Roman"/>
                <w:vertAlign w:val="subscript"/>
                <w:lang w:eastAsia="ru-RU"/>
              </w:rPr>
              <w:t> i</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bl>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Поэтажные площади на этажах каждого дома одинаковы и равны площади застройки.</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Требуется</w:t>
      </w:r>
      <w:r w:rsidRPr="007020C2">
        <w:rPr>
          <w:rFonts w:ascii="Times New Roman" w:eastAsia="Times New Roman" w:hAnsi="Times New Roman" w:cs="Times New Roman"/>
          <w:sz w:val="24"/>
          <w:szCs w:val="24"/>
          <w:lang w:eastAsia="ru-RU"/>
        </w:rPr>
        <w:t>: установить соответствие коэффициента застройки Кз кв и плотности застройки Рз кв квартала жилыми домами нормативным значениям.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Решение: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Определяется суммарная площадь застройки всех домов в квартале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 Sз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500+500+900+900+900+900+900 = 5500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Определяется суммарная поэтажная площадь всех домов в квартале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 ( Sз</w:t>
      </w:r>
      <w:r w:rsidRPr="007020C2">
        <w:rPr>
          <w:rFonts w:ascii="Times New Roman" w:eastAsia="Times New Roman" w:hAnsi="Times New Roman" w:cs="Times New Roman"/>
          <w:sz w:val="24"/>
          <w:szCs w:val="24"/>
          <w:vertAlign w:val="subscript"/>
          <w:lang w:eastAsia="ru-RU"/>
        </w:rPr>
        <w:t>i </w:t>
      </w:r>
      <w:r w:rsidRPr="007020C2">
        <w:rPr>
          <w:rFonts w:ascii="Times New Roman" w:eastAsia="Times New Roman" w:hAnsi="Times New Roman" w:cs="Times New Roman"/>
          <w:sz w:val="24"/>
          <w:szCs w:val="24"/>
          <w:lang w:eastAsia="ru-RU"/>
        </w:rPr>
        <w:t>× Nэт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500×2+500×2+900×5+900×5+900×5+900×9+900×9 = 31700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Определяется коэффициент застройки Кз кв, плотность застройки Рз кв квартала жилыми домами и средняя этажность домов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в квартале по формулам: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 кв = 100% ×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Sкв)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Sкв;</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 кв = 100 × 5500 / 27000 = 20,4%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 31700 / 27000= 1,17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 что  эквивалентно 11700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/га;</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36800 / 7000 = 5,8.</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4) По таблице 1 местных нормативов для полученной нецелочисленной средней этажности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5,8 методом линейной интерполяции определяется максимальный коэффициент застройки квартала жилыми домами Kз кв</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 + (5,8– 5)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(6)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 )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(5,8) = 24,4 + 0,8 × (21,9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24,4) =22,4%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 соответствующая  плотность застройки квартала Kз кв</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Nэт</w:t>
      </w:r>
      <w:r w:rsidRPr="007020C2">
        <w:rPr>
          <w:rFonts w:ascii="Times New Roman" w:eastAsia="Times New Roman" w:hAnsi="Times New Roman" w:cs="Times New Roman"/>
          <w:sz w:val="24"/>
          <w:szCs w:val="24"/>
          <w:vertAlign w:val="subscript"/>
          <w:lang w:eastAsia="ru-RU"/>
        </w:rPr>
        <w:t> ср</w:t>
      </w:r>
      <w:r w:rsidRPr="007020C2">
        <w:rPr>
          <w:rFonts w:ascii="Times New Roman" w:eastAsia="Times New Roman" w:hAnsi="Times New Roman" w:cs="Times New Roman"/>
          <w:sz w:val="24"/>
          <w:szCs w:val="24"/>
          <w:lang w:eastAsia="ru-RU"/>
        </w:rPr>
        <w:t>)/100%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 (22,4×5,8)/100 = 1,30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 что  эквивалентно 13000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/га</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или методом линейной интерполяции по табличным значениям.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5) Проверяются условия соблюдения норматива:</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иРз кв  ≤ Рз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Они выполняются, поскольку 20,4&lt; 22,4  и  11700 &lt; 13000.</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Следовательно, коэффициент застройки и плотность застройки квартала жилыми домами в данном примере соответствуют местным нормативам.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Пример 2</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Дано</w:t>
      </w:r>
      <w:r w:rsidRPr="007020C2">
        <w:rPr>
          <w:rFonts w:ascii="Times New Roman" w:eastAsia="Times New Roman" w:hAnsi="Times New Roman" w:cs="Times New Roman"/>
          <w:sz w:val="24"/>
          <w:szCs w:val="24"/>
          <w:lang w:eastAsia="ru-RU"/>
        </w:rPr>
        <w:t>: в городе на территории жилого квартала площадью Sкв = 28000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размещено 7 многоквартирных жилых домов со следующими параметрами:</w:t>
      </w:r>
    </w:p>
    <w:tbl>
      <w:tblPr>
        <w:tblW w:w="6380" w:type="dxa"/>
        <w:tblInd w:w="150" w:type="dxa"/>
        <w:tblCellMar>
          <w:left w:w="0" w:type="dxa"/>
          <w:right w:w="0" w:type="dxa"/>
        </w:tblCellMar>
        <w:tblLook w:val="04A0"/>
      </w:tblPr>
      <w:tblGrid>
        <w:gridCol w:w="1985"/>
        <w:gridCol w:w="2268"/>
        <w:gridCol w:w="2127"/>
      </w:tblGrid>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Индекс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i = 1, 2, …n</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застройки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Sз </w:t>
            </w:r>
            <w:r w:rsidRPr="007020C2">
              <w:rPr>
                <w:rFonts w:ascii="Times New Roman" w:eastAsia="Times New Roman" w:hAnsi="Times New Roman" w:cs="Times New Roman"/>
                <w:vertAlign w:val="subscript"/>
                <w:lang w:eastAsia="ru-RU"/>
              </w:rPr>
              <w:t>i</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vertAlign w:val="subscript"/>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Nэт</w:t>
            </w:r>
            <w:r w:rsidRPr="007020C2">
              <w:rPr>
                <w:rFonts w:ascii="Times New Roman" w:eastAsia="Times New Roman" w:hAnsi="Times New Roman" w:cs="Times New Roman"/>
                <w:vertAlign w:val="subscript"/>
                <w:lang w:eastAsia="ru-RU"/>
              </w:rPr>
              <w:t> i</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bl>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Поэтажные площади на этажах каждого дома одинаковы и равны площади застройки. Первый этаж 5 этажного дома с индексом i=5 полностью занят объектами торговли и общественного питания, коммунально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В квартале проживает 1100 жителей, из них 80 в планируемых к сносу домах.</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Требуется</w:t>
      </w:r>
      <w:r w:rsidRPr="007020C2">
        <w:rPr>
          <w:rFonts w:ascii="Times New Roman" w:eastAsia="Times New Roman" w:hAnsi="Times New Roman" w:cs="Times New Roman"/>
          <w:sz w:val="24"/>
          <w:szCs w:val="24"/>
          <w:lang w:eastAsia="ru-RU"/>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lastRenderedPageBreak/>
        <w:t>Решение: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Определяется суммарная площадь застройки всех сохраняемых домов в квартале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 Sз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900+900+900+900+900 = 4500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Определяется суммарная поэтажная площадь сохраняемых домов в квартале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 ( Sз</w:t>
      </w:r>
      <w:r w:rsidRPr="007020C2">
        <w:rPr>
          <w:rFonts w:ascii="Times New Roman" w:eastAsia="Times New Roman" w:hAnsi="Times New Roman" w:cs="Times New Roman"/>
          <w:sz w:val="24"/>
          <w:szCs w:val="24"/>
          <w:vertAlign w:val="subscript"/>
          <w:lang w:eastAsia="ru-RU"/>
        </w:rPr>
        <w:t>i </w:t>
      </w:r>
      <w:r w:rsidRPr="007020C2">
        <w:rPr>
          <w:rFonts w:ascii="Times New Roman" w:eastAsia="Times New Roman" w:hAnsi="Times New Roman" w:cs="Times New Roman"/>
          <w:sz w:val="24"/>
          <w:szCs w:val="24"/>
          <w:lang w:eastAsia="ru-RU"/>
        </w:rPr>
        <w:t>× Nэт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=900×5+900×5+900×5+900×9+900×9 = 29700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Определяется  средняя этажность сохраняемых домов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29700 / 4500 = 6,6.</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По таблице 1 местных нормативов для полученной нецелочисленной средней этажности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6,6 методом линейной интерполяции определяется максимальный коэффициент застройки части территории квартала жилыми домами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(6,6)</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(6,6)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 + (6,6</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6)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(7)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(6,6) = 21,9 + 0,6 × (19,8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21,9) =20,6%.</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5) Минимальная потребность в территории в границах квартала для сохраняемых домов с площадью застройки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и средней этажностью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6,6 определяется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 =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/100%);</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 = 4500 / (20,6 / 100) = 21800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6) Максимальная площадь части квартала, которая может быть выделена для нового строительства Sстр = Sкв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Sтр = 28000 – 21800 = 6200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7) На части территории квартала площадью Sстр при максимальной (нормативной) плотности застройки Рз</w:t>
      </w:r>
      <w:r w:rsidR="006B6B83"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lang w:eastAsia="ru-RU"/>
        </w:rPr>
        <w:t>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может быть построено здание или несколько зданий с  суммарной поэтажной площадью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=S стр × Рз</w:t>
      </w:r>
      <w:r w:rsidR="006B6B83"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lang w:eastAsia="ru-RU"/>
        </w:rPr>
        <w:t>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При максимальной для нового строительства этажности 7 этажей и соответствующей ей максимальной (нормативной) плотности застройки 1,39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=6200 × 1,39 = 8620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С учетом площади одной семиэтажной секции 7×300 =2100м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может быть построено максимум 4 секций общей площадью 2100 × 4 =8400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8) При расчетной обеспеченности жителей площадью дома 28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/чел. в новом доме площадью 8400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могут поселиться 8400/28 = 300 человек.</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9) Для 300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организациях не менее 65 мест/тыс. чел. и в общеобразовательных организациях (школах)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менее 135 мест/тыс. чел.  потребуется  300 × 65/1000 = 20 мест  и  300 × 135/1000 = 41 место соответственно.</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10) Определяется обеспеченность планируемого состава населения квартала объектами обслуживания (торговли и общественного питания, коммунально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 учетом выбытия жильцов сносимых домов и пополнением жильцами нового дома в квартале 1100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80+300=1320 человек. Для размещения указанных объектов обслуживания при средней этажности домов в квартале (включая новый дом)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(29700+8400) / (4500+1200) = 6,7</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и соответствующей нормативной потребности в расчете на одного жителя (см. строки 2 и 3 таблицы 6) 0,30+0,13 = 0,43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/чел. площадь требуемой территории  0,43× 1320=568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lastRenderedPageBreak/>
        <w:t>На такой территории при нормативной плотности 1,22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застройки 5 этажными домами могут разместиться встроенные объекты площадью 568×1,22=692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,что меньше используемой площади первого этажа 900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Следовательно, обеспечение населения квартала объектами торговли и общественного питания, коммунально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соответствует нормативу.</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Пример 3</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Дано</w:t>
      </w:r>
      <w:r w:rsidRPr="007020C2">
        <w:rPr>
          <w:rFonts w:ascii="Times New Roman" w:eastAsia="Times New Roman" w:hAnsi="Times New Roman" w:cs="Times New Roman"/>
          <w:sz w:val="24"/>
          <w:szCs w:val="24"/>
          <w:lang w:eastAsia="ru-RU"/>
        </w:rPr>
        <w:t>: в рабочем посёлке на территории жилого квартала (части квартала) площадью Sкв = 17000 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размещено 4 многоквартирных жилых дома со следующими параметрами:</w:t>
      </w:r>
    </w:p>
    <w:tbl>
      <w:tblPr>
        <w:tblW w:w="6521" w:type="dxa"/>
        <w:tblInd w:w="150" w:type="dxa"/>
        <w:tblCellMar>
          <w:left w:w="0" w:type="dxa"/>
          <w:right w:w="0" w:type="dxa"/>
        </w:tblCellMar>
        <w:tblLook w:val="04A0"/>
      </w:tblPr>
      <w:tblGrid>
        <w:gridCol w:w="1985"/>
        <w:gridCol w:w="2410"/>
        <w:gridCol w:w="2126"/>
      </w:tblGrid>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Индекс дома,</w:t>
            </w:r>
          </w:p>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i = 1, 2, …n</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застройки дома,</w:t>
            </w:r>
          </w:p>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Sз </w:t>
            </w:r>
            <w:r w:rsidRPr="007020C2">
              <w:rPr>
                <w:rFonts w:ascii="Times New Roman" w:eastAsia="Times New Roman" w:hAnsi="Times New Roman" w:cs="Times New Roman"/>
                <w:vertAlign w:val="subscript"/>
                <w:lang w:eastAsia="ru-RU"/>
              </w:rPr>
              <w:t>i  </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дома,</w:t>
            </w:r>
          </w:p>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Nэт</w:t>
            </w:r>
            <w:r w:rsidRPr="007020C2">
              <w:rPr>
                <w:rFonts w:ascii="Times New Roman" w:eastAsia="Times New Roman" w:hAnsi="Times New Roman" w:cs="Times New Roman"/>
                <w:vertAlign w:val="subscript"/>
                <w:lang w:eastAsia="ru-RU"/>
              </w:rPr>
              <w:t> i</w:t>
            </w:r>
          </w:p>
        </w:tc>
      </w:tr>
      <w:tr w:rsidR="009C4EA0" w:rsidRPr="007020C2" w:rsidTr="00245249">
        <w:trPr>
          <w:trHeight w:val="170"/>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r>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r>
    </w:tbl>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Поэтажные площади на этажах каждого дома одинаковы и равны площади застройки.</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Требуется</w:t>
      </w:r>
      <w:r w:rsidRPr="007020C2">
        <w:rPr>
          <w:rFonts w:ascii="Times New Roman" w:eastAsia="Times New Roman" w:hAnsi="Times New Roman" w:cs="Times New Roman"/>
          <w:sz w:val="24"/>
          <w:szCs w:val="24"/>
          <w:lang w:eastAsia="ru-RU"/>
        </w:rPr>
        <w:t>: определить для целей межевания площади земельных участков под каждый жилой дом и площадь возможно свободного участка.</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Решение:</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Минимальная потребность территории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для каждого дома с учетом максимального коэффициента застройки, соответствующего этажности (см. таблица 1), определяется по формуле:</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i</w:t>
      </w:r>
      <w:r w:rsidRPr="007020C2">
        <w:rPr>
          <w:rFonts w:ascii="Times New Roman" w:eastAsia="Times New Roman" w:hAnsi="Times New Roman" w:cs="Times New Roman"/>
          <w:sz w:val="24"/>
          <w:szCs w:val="24"/>
          <w:lang w:val="en-US" w:eastAsia="ru-RU"/>
        </w:rPr>
        <w:t> = S</w:t>
      </w:r>
      <w:r w:rsidRPr="007020C2">
        <w:rPr>
          <w:rFonts w:ascii="Times New Roman" w:eastAsia="Times New Roman" w:hAnsi="Times New Roman" w:cs="Times New Roman"/>
          <w:sz w:val="24"/>
          <w:szCs w:val="24"/>
          <w:lang w:eastAsia="ru-RU"/>
        </w:rPr>
        <w:t>з</w:t>
      </w:r>
      <w:r w:rsidRPr="007020C2">
        <w:rPr>
          <w:rFonts w:ascii="Times New Roman" w:eastAsia="Times New Roman" w:hAnsi="Times New Roman" w:cs="Times New Roman"/>
          <w:sz w:val="24"/>
          <w:szCs w:val="24"/>
          <w:lang w:val="en-US" w:eastAsia="ru-RU"/>
        </w:rPr>
        <w:t> </w:t>
      </w:r>
      <w:r w:rsidRPr="007020C2">
        <w:rPr>
          <w:rFonts w:ascii="Times New Roman" w:eastAsia="Times New Roman" w:hAnsi="Times New Roman" w:cs="Times New Roman"/>
          <w:sz w:val="24"/>
          <w:szCs w:val="24"/>
          <w:vertAlign w:val="subscript"/>
          <w:lang w:val="en-US" w:eastAsia="ru-RU"/>
        </w:rPr>
        <w:t>i  </w:t>
      </w:r>
      <w:r w:rsidRPr="007020C2">
        <w:rPr>
          <w:rFonts w:ascii="Times New Roman" w:eastAsia="Times New Roman" w:hAnsi="Times New Roman" w:cs="Times New Roman"/>
          <w:sz w:val="24"/>
          <w:szCs w:val="24"/>
          <w:lang w:val="en-US" w:eastAsia="ru-RU"/>
        </w:rPr>
        <w:t>/ (K</w:t>
      </w:r>
      <w:r w:rsidRPr="007020C2">
        <w:rPr>
          <w:rFonts w:ascii="Times New Roman" w:eastAsia="Times New Roman" w:hAnsi="Times New Roman" w:cs="Times New Roman"/>
          <w:sz w:val="24"/>
          <w:szCs w:val="24"/>
          <w:lang w:eastAsia="ru-RU"/>
        </w:rPr>
        <w:t>зкв</w:t>
      </w:r>
      <w:r w:rsidRPr="007020C2">
        <w:rPr>
          <w:rFonts w:ascii="Times New Roman" w:eastAsia="Times New Roman" w:hAnsi="Times New Roman" w:cs="Times New Roman"/>
          <w:sz w:val="24"/>
          <w:szCs w:val="24"/>
          <w:lang w:val="en-US" w:eastAsia="ru-RU"/>
        </w:rPr>
        <w:t> </w:t>
      </w:r>
      <w:r w:rsidRPr="007020C2">
        <w:rPr>
          <w:rFonts w:ascii="Times New Roman" w:eastAsia="Times New Roman" w:hAnsi="Times New Roman" w:cs="Times New Roman"/>
          <w:sz w:val="24"/>
          <w:szCs w:val="24"/>
          <w:vertAlign w:val="superscript"/>
          <w:lang w:val="en-US" w:eastAsia="ru-RU"/>
        </w:rPr>
        <w:t>max</w:t>
      </w:r>
      <w:r w:rsidRPr="007020C2">
        <w:rPr>
          <w:rFonts w:ascii="Times New Roman" w:eastAsia="Times New Roman" w:hAnsi="Times New Roman" w:cs="Times New Roman"/>
          <w:sz w:val="24"/>
          <w:szCs w:val="24"/>
          <w:lang w:val="en-US" w:eastAsia="ru-RU"/>
        </w:rPr>
        <w:t>(N</w:t>
      </w:r>
      <w:r w:rsidRPr="007020C2">
        <w:rPr>
          <w:rFonts w:ascii="Times New Roman" w:eastAsia="Times New Roman" w:hAnsi="Times New Roman" w:cs="Times New Roman"/>
          <w:sz w:val="24"/>
          <w:szCs w:val="24"/>
          <w:lang w:eastAsia="ru-RU"/>
        </w:rPr>
        <w:t>эт</w:t>
      </w:r>
      <w:r w:rsidRPr="007020C2">
        <w:rPr>
          <w:rFonts w:ascii="Times New Roman" w:eastAsia="Times New Roman" w:hAnsi="Times New Roman" w:cs="Times New Roman"/>
          <w:sz w:val="24"/>
          <w:szCs w:val="24"/>
          <w:vertAlign w:val="subscript"/>
          <w:lang w:val="en-US" w:eastAsia="ru-RU"/>
        </w:rPr>
        <w:t> i</w:t>
      </w:r>
      <w:r w:rsidRPr="007020C2">
        <w:rPr>
          <w:rFonts w:ascii="Times New Roman" w:eastAsia="Times New Roman" w:hAnsi="Times New Roman" w:cs="Times New Roman"/>
          <w:sz w:val="24"/>
          <w:szCs w:val="24"/>
          <w:lang w:val="en-US" w:eastAsia="ru-RU"/>
        </w:rPr>
        <w:t>) / 100%);</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1</w:t>
      </w:r>
      <w:r w:rsidRPr="007020C2">
        <w:rPr>
          <w:rFonts w:ascii="Times New Roman" w:eastAsia="Times New Roman" w:hAnsi="Times New Roman" w:cs="Times New Roman"/>
          <w:sz w:val="24"/>
          <w:szCs w:val="24"/>
          <w:lang w:val="en-US" w:eastAsia="ru-RU"/>
        </w:rPr>
        <w:t> = 500</w:t>
      </w:r>
      <w:r w:rsidRPr="007020C2">
        <w:rPr>
          <w:rFonts w:ascii="Times New Roman" w:eastAsia="Times New Roman" w:hAnsi="Times New Roman" w:cs="Times New Roman"/>
          <w:sz w:val="24"/>
          <w:szCs w:val="24"/>
          <w:vertAlign w:val="subscript"/>
          <w:lang w:val="en-US" w:eastAsia="ru-RU"/>
        </w:rPr>
        <w:t>  </w:t>
      </w:r>
      <w:r w:rsidRPr="007020C2">
        <w:rPr>
          <w:rFonts w:ascii="Times New Roman" w:eastAsia="Times New Roman" w:hAnsi="Times New Roman" w:cs="Times New Roman"/>
          <w:sz w:val="24"/>
          <w:szCs w:val="24"/>
          <w:lang w:val="en-US" w:eastAsia="ru-RU"/>
        </w:rPr>
        <w:t xml:space="preserve">/ (37,3 / 100) = 1340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val="en-US" w:eastAsia="ru-RU"/>
        </w:rPr>
        <w:t>2</w:t>
      </w:r>
      <w:r w:rsidRPr="007020C2">
        <w:rPr>
          <w:rFonts w:ascii="Times New Roman" w:eastAsia="Times New Roman" w:hAnsi="Times New Roman" w:cs="Times New Roman"/>
          <w:sz w:val="24"/>
          <w:szCs w:val="24"/>
          <w:lang w:val="en-US"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2</w:t>
      </w:r>
      <w:r w:rsidRPr="007020C2">
        <w:rPr>
          <w:rFonts w:ascii="Times New Roman" w:eastAsia="Times New Roman" w:hAnsi="Times New Roman" w:cs="Times New Roman"/>
          <w:sz w:val="24"/>
          <w:szCs w:val="24"/>
          <w:lang w:val="en-US" w:eastAsia="ru-RU"/>
        </w:rPr>
        <w:t> = 500</w:t>
      </w:r>
      <w:r w:rsidRPr="007020C2">
        <w:rPr>
          <w:rFonts w:ascii="Times New Roman" w:eastAsia="Times New Roman" w:hAnsi="Times New Roman" w:cs="Times New Roman"/>
          <w:sz w:val="24"/>
          <w:szCs w:val="24"/>
          <w:vertAlign w:val="subscript"/>
          <w:lang w:val="en-US" w:eastAsia="ru-RU"/>
        </w:rPr>
        <w:t>  </w:t>
      </w:r>
      <w:r w:rsidRPr="007020C2">
        <w:rPr>
          <w:rFonts w:ascii="Times New Roman" w:eastAsia="Times New Roman" w:hAnsi="Times New Roman" w:cs="Times New Roman"/>
          <w:sz w:val="24"/>
          <w:szCs w:val="24"/>
          <w:lang w:val="en-US" w:eastAsia="ru-RU"/>
        </w:rPr>
        <w:t xml:space="preserve">/ (31,1 / 100) = 1610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val="en-US" w:eastAsia="ru-RU"/>
        </w:rPr>
        <w:t>2</w:t>
      </w:r>
      <w:r w:rsidRPr="007020C2">
        <w:rPr>
          <w:rFonts w:ascii="Times New Roman" w:eastAsia="Times New Roman" w:hAnsi="Times New Roman" w:cs="Times New Roman"/>
          <w:sz w:val="24"/>
          <w:szCs w:val="24"/>
          <w:lang w:val="en-US"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3</w:t>
      </w:r>
      <w:r w:rsidRPr="007020C2">
        <w:rPr>
          <w:rFonts w:ascii="Times New Roman" w:eastAsia="Times New Roman" w:hAnsi="Times New Roman" w:cs="Times New Roman"/>
          <w:sz w:val="24"/>
          <w:szCs w:val="24"/>
          <w:lang w:val="en-US" w:eastAsia="ru-RU"/>
        </w:rPr>
        <w:t> = 1200</w:t>
      </w:r>
      <w:r w:rsidRPr="007020C2">
        <w:rPr>
          <w:rFonts w:ascii="Times New Roman" w:eastAsia="Times New Roman" w:hAnsi="Times New Roman" w:cs="Times New Roman"/>
          <w:sz w:val="24"/>
          <w:szCs w:val="24"/>
          <w:vertAlign w:val="subscript"/>
          <w:lang w:val="en-US" w:eastAsia="ru-RU"/>
        </w:rPr>
        <w:t>  </w:t>
      </w:r>
      <w:r w:rsidRPr="007020C2">
        <w:rPr>
          <w:rFonts w:ascii="Times New Roman" w:eastAsia="Times New Roman" w:hAnsi="Times New Roman" w:cs="Times New Roman"/>
          <w:sz w:val="24"/>
          <w:szCs w:val="24"/>
          <w:lang w:val="en-US" w:eastAsia="ru-RU"/>
        </w:rPr>
        <w:t xml:space="preserve">/ (23,6 / 100) = 5080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val="en-US" w:eastAsia="ru-RU"/>
        </w:rPr>
        <w:t>2</w:t>
      </w:r>
      <w:r w:rsidRPr="007020C2">
        <w:rPr>
          <w:rFonts w:ascii="Times New Roman" w:eastAsia="Times New Roman" w:hAnsi="Times New Roman" w:cs="Times New Roman"/>
          <w:sz w:val="24"/>
          <w:szCs w:val="24"/>
          <w:lang w:val="en-US"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4</w:t>
      </w:r>
      <w:r w:rsidRPr="007020C2">
        <w:rPr>
          <w:rFonts w:ascii="Times New Roman" w:eastAsia="Times New Roman" w:hAnsi="Times New Roman" w:cs="Times New Roman"/>
          <w:sz w:val="24"/>
          <w:szCs w:val="24"/>
          <w:lang w:eastAsia="ru-RU"/>
        </w:rPr>
        <w:t> = 1200</w:t>
      </w:r>
      <w:r w:rsidRPr="007020C2">
        <w:rPr>
          <w:rFonts w:ascii="Times New Roman" w:eastAsia="Times New Roman" w:hAnsi="Times New Roman" w:cs="Times New Roman"/>
          <w:sz w:val="24"/>
          <w:szCs w:val="24"/>
          <w:vertAlign w:val="subscript"/>
          <w:lang w:eastAsia="ru-RU"/>
        </w:rPr>
        <w:t>  </w:t>
      </w:r>
      <w:r w:rsidRPr="007020C2">
        <w:rPr>
          <w:rFonts w:ascii="Times New Roman" w:eastAsia="Times New Roman" w:hAnsi="Times New Roman" w:cs="Times New Roman"/>
          <w:sz w:val="24"/>
          <w:szCs w:val="24"/>
          <w:lang w:eastAsia="ru-RU"/>
        </w:rPr>
        <w:t>/ (19,1 / 100) = 6280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Суммарная минимальная потребность территории для 4 домов</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 ∑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1340+1610+5080+6280=14310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 Сверхнормативный остаток территории Sкв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=17000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14310 =2690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Если остаток территории можно выделить в самостоятельный участок, то площадь каждого земельного участка Sзу</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принимается как минимальная потребность территории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т.е. </w:t>
      </w:r>
      <w:r w:rsidRPr="007020C2">
        <w:rPr>
          <w:rFonts w:ascii="Times New Roman" w:eastAsia="Times New Roman" w:hAnsi="Times New Roman" w:cs="Times New Roman"/>
          <w:sz w:val="24"/>
          <w:szCs w:val="24"/>
          <w:vertAlign w:val="subscript"/>
          <w:lang w:eastAsia="ru-RU"/>
        </w:rPr>
        <w:t> </w:t>
      </w: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w:t>
      </w:r>
      <w:r w:rsidRPr="007020C2">
        <w:rPr>
          <w:rFonts w:ascii="Times New Roman" w:eastAsia="Times New Roman" w:hAnsi="Times New Roman" w:cs="Times New Roman"/>
          <w:sz w:val="24"/>
          <w:szCs w:val="24"/>
          <w:vertAlign w:val="subscript"/>
          <w:lang w:eastAsia="ru-RU"/>
        </w:rPr>
        <w:t> </w:t>
      </w:r>
      <w:r w:rsidRPr="007020C2">
        <w:rPr>
          <w:rFonts w:ascii="Times New Roman" w:eastAsia="Times New Roman" w:hAnsi="Times New Roman" w:cs="Times New Roman"/>
          <w:sz w:val="24"/>
          <w:szCs w:val="24"/>
          <w:lang w:eastAsia="ru-RU"/>
        </w:rPr>
        <w:t>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Если остаток территории по каким либо причинам не удается выделить в самостоятельный участок, то площадь квартала Sкв делится между земельными участками на части пропорционально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по формуле:</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 Sкв;</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1 </w:t>
      </w:r>
      <w:r w:rsidRPr="007020C2">
        <w:rPr>
          <w:rFonts w:ascii="Times New Roman" w:eastAsia="Times New Roman" w:hAnsi="Times New Roman" w:cs="Times New Roman"/>
          <w:sz w:val="24"/>
          <w:szCs w:val="24"/>
          <w:lang w:eastAsia="ru-RU"/>
        </w:rPr>
        <w:t>= (1340 / 14310) × 17000 = 1590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2 </w:t>
      </w:r>
      <w:r w:rsidRPr="007020C2">
        <w:rPr>
          <w:rFonts w:ascii="Times New Roman" w:eastAsia="Times New Roman" w:hAnsi="Times New Roman" w:cs="Times New Roman"/>
          <w:sz w:val="24"/>
          <w:szCs w:val="24"/>
          <w:lang w:eastAsia="ru-RU"/>
        </w:rPr>
        <w:t>= (1610 / 14310) × 17000 = 1910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3 </w:t>
      </w:r>
      <w:r w:rsidRPr="007020C2">
        <w:rPr>
          <w:rFonts w:ascii="Times New Roman" w:eastAsia="Times New Roman" w:hAnsi="Times New Roman" w:cs="Times New Roman"/>
          <w:sz w:val="24"/>
          <w:szCs w:val="24"/>
          <w:lang w:eastAsia="ru-RU"/>
        </w:rPr>
        <w:t>= (5080 / 14310) × 17000 = 6030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4 </w:t>
      </w:r>
      <w:r w:rsidRPr="007020C2">
        <w:rPr>
          <w:rFonts w:ascii="Times New Roman" w:eastAsia="Times New Roman" w:hAnsi="Times New Roman" w:cs="Times New Roman"/>
          <w:sz w:val="24"/>
          <w:szCs w:val="24"/>
          <w:lang w:eastAsia="ru-RU"/>
        </w:rPr>
        <w:t>= (7450 / 14310) × 17000 = 7470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случае, если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&gt; Sкв, приведенная формула деления площади квартала остается верной, но площади земельных участков будут меньше минимальной потребности территории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что допускается для существующих жилых домов.</w:t>
      </w:r>
    </w:p>
    <w:p w:rsidR="00BF3992" w:rsidRPr="007020C2" w:rsidRDefault="00F639AF" w:rsidP="00D1549E">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sectPr w:rsidR="00BF3992" w:rsidRPr="007020C2" w:rsidSect="00D1549E">
      <w:footerReference w:type="default" r:id="rId28"/>
      <w:pgSz w:w="11906" w:h="16838"/>
      <w:pgMar w:top="851" w:right="707"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140" w:rsidRDefault="00E72140" w:rsidP="00BF3992">
      <w:pPr>
        <w:spacing w:after="0" w:line="240" w:lineRule="auto"/>
      </w:pPr>
      <w:r>
        <w:separator/>
      </w:r>
    </w:p>
  </w:endnote>
  <w:endnote w:type="continuationSeparator" w:id="1">
    <w:p w:rsidR="00E72140" w:rsidRDefault="00E72140" w:rsidP="00BF3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87243"/>
      <w:docPartObj>
        <w:docPartGallery w:val="Page Numbers (Bottom of Page)"/>
        <w:docPartUnique/>
      </w:docPartObj>
    </w:sdtPr>
    <w:sdtContent>
      <w:p w:rsidR="00696393" w:rsidRDefault="003271EF">
        <w:pPr>
          <w:pStyle w:val="a7"/>
          <w:jc w:val="right"/>
        </w:pPr>
        <w:r>
          <w:fldChar w:fldCharType="begin"/>
        </w:r>
        <w:r w:rsidR="00696393">
          <w:instrText>PAGE   \* MERGEFORMAT</w:instrText>
        </w:r>
        <w:r>
          <w:fldChar w:fldCharType="separate"/>
        </w:r>
        <w:r w:rsidR="00D2344C">
          <w:rPr>
            <w:noProof/>
          </w:rPr>
          <w:t>1</w:t>
        </w:r>
        <w:r>
          <w:fldChar w:fldCharType="end"/>
        </w:r>
      </w:p>
    </w:sdtContent>
  </w:sdt>
  <w:p w:rsidR="00C63448" w:rsidRDefault="00C634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140" w:rsidRDefault="00E72140" w:rsidP="00BF3992">
      <w:pPr>
        <w:spacing w:after="0" w:line="240" w:lineRule="auto"/>
      </w:pPr>
      <w:r>
        <w:separator/>
      </w:r>
    </w:p>
  </w:footnote>
  <w:footnote w:type="continuationSeparator" w:id="1">
    <w:p w:rsidR="00E72140" w:rsidRDefault="00E72140" w:rsidP="00BF3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E0"/>
    <w:multiLevelType w:val="multilevel"/>
    <w:tmpl w:val="EDE62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C62EF"/>
    <w:multiLevelType w:val="multilevel"/>
    <w:tmpl w:val="69844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F60C4"/>
    <w:multiLevelType w:val="multilevel"/>
    <w:tmpl w:val="2684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17A87"/>
    <w:multiLevelType w:val="multilevel"/>
    <w:tmpl w:val="C228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67867"/>
    <w:multiLevelType w:val="multilevel"/>
    <w:tmpl w:val="D72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145F5"/>
    <w:multiLevelType w:val="multilevel"/>
    <w:tmpl w:val="04267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6511B"/>
    <w:multiLevelType w:val="multilevel"/>
    <w:tmpl w:val="93D6E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57F02"/>
    <w:multiLevelType w:val="multilevel"/>
    <w:tmpl w:val="7D8E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05E11"/>
    <w:multiLevelType w:val="multilevel"/>
    <w:tmpl w:val="ED28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C39C8"/>
    <w:multiLevelType w:val="multilevel"/>
    <w:tmpl w:val="C818C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90063B"/>
    <w:multiLevelType w:val="multilevel"/>
    <w:tmpl w:val="575E0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3"/>
  </w:num>
  <w:num w:numId="8">
    <w:abstractNumId w:val="8"/>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D54"/>
    <w:rsid w:val="00023C42"/>
    <w:rsid w:val="00034A83"/>
    <w:rsid w:val="00053613"/>
    <w:rsid w:val="00054407"/>
    <w:rsid w:val="000569C8"/>
    <w:rsid w:val="00064DF8"/>
    <w:rsid w:val="000671E3"/>
    <w:rsid w:val="000810DE"/>
    <w:rsid w:val="000A29B0"/>
    <w:rsid w:val="000C4842"/>
    <w:rsid w:val="000D77FA"/>
    <w:rsid w:val="000E56CA"/>
    <w:rsid w:val="00142153"/>
    <w:rsid w:val="0014736D"/>
    <w:rsid w:val="00167DAB"/>
    <w:rsid w:val="00181BC8"/>
    <w:rsid w:val="00200041"/>
    <w:rsid w:val="00201CEE"/>
    <w:rsid w:val="00216305"/>
    <w:rsid w:val="0022236E"/>
    <w:rsid w:val="00245249"/>
    <w:rsid w:val="002506BD"/>
    <w:rsid w:val="002643E1"/>
    <w:rsid w:val="0027779C"/>
    <w:rsid w:val="002A0D76"/>
    <w:rsid w:val="002A0E11"/>
    <w:rsid w:val="002B3923"/>
    <w:rsid w:val="002C173A"/>
    <w:rsid w:val="002D6488"/>
    <w:rsid w:val="002E05FC"/>
    <w:rsid w:val="002F0836"/>
    <w:rsid w:val="00317B9B"/>
    <w:rsid w:val="003253D0"/>
    <w:rsid w:val="003271EF"/>
    <w:rsid w:val="003C5B3E"/>
    <w:rsid w:val="003D383A"/>
    <w:rsid w:val="00416BE9"/>
    <w:rsid w:val="00460401"/>
    <w:rsid w:val="00484F1D"/>
    <w:rsid w:val="004917A8"/>
    <w:rsid w:val="004B4624"/>
    <w:rsid w:val="004E52FA"/>
    <w:rsid w:val="004F07C3"/>
    <w:rsid w:val="00582BDC"/>
    <w:rsid w:val="00584D54"/>
    <w:rsid w:val="005859E4"/>
    <w:rsid w:val="005D139C"/>
    <w:rsid w:val="005D4F75"/>
    <w:rsid w:val="00651D64"/>
    <w:rsid w:val="00676DEE"/>
    <w:rsid w:val="006802A2"/>
    <w:rsid w:val="00696393"/>
    <w:rsid w:val="00697251"/>
    <w:rsid w:val="006B3DE9"/>
    <w:rsid w:val="006B6B83"/>
    <w:rsid w:val="006D723B"/>
    <w:rsid w:val="006E4C17"/>
    <w:rsid w:val="007020C2"/>
    <w:rsid w:val="00702A24"/>
    <w:rsid w:val="00715831"/>
    <w:rsid w:val="00737D2B"/>
    <w:rsid w:val="00780E69"/>
    <w:rsid w:val="00793A11"/>
    <w:rsid w:val="007C4C6F"/>
    <w:rsid w:val="007D4732"/>
    <w:rsid w:val="007D60B5"/>
    <w:rsid w:val="007E35EB"/>
    <w:rsid w:val="007F430F"/>
    <w:rsid w:val="0080454F"/>
    <w:rsid w:val="00807716"/>
    <w:rsid w:val="008333B5"/>
    <w:rsid w:val="00864876"/>
    <w:rsid w:val="00880563"/>
    <w:rsid w:val="008A7D89"/>
    <w:rsid w:val="008B2732"/>
    <w:rsid w:val="008D3A0C"/>
    <w:rsid w:val="00910B72"/>
    <w:rsid w:val="0091292E"/>
    <w:rsid w:val="00921CC2"/>
    <w:rsid w:val="0092442C"/>
    <w:rsid w:val="00953688"/>
    <w:rsid w:val="009C4EA0"/>
    <w:rsid w:val="009E7203"/>
    <w:rsid w:val="00A13E89"/>
    <w:rsid w:val="00A52800"/>
    <w:rsid w:val="00A66892"/>
    <w:rsid w:val="00AA1C1C"/>
    <w:rsid w:val="00AC36BF"/>
    <w:rsid w:val="00AD0612"/>
    <w:rsid w:val="00AD26E2"/>
    <w:rsid w:val="00AE7596"/>
    <w:rsid w:val="00AF15C6"/>
    <w:rsid w:val="00B44A74"/>
    <w:rsid w:val="00B54747"/>
    <w:rsid w:val="00B62609"/>
    <w:rsid w:val="00B70DDE"/>
    <w:rsid w:val="00B72154"/>
    <w:rsid w:val="00B8681B"/>
    <w:rsid w:val="00BB0C24"/>
    <w:rsid w:val="00BC0D15"/>
    <w:rsid w:val="00BC56FC"/>
    <w:rsid w:val="00BF3992"/>
    <w:rsid w:val="00C0094B"/>
    <w:rsid w:val="00C430F0"/>
    <w:rsid w:val="00C527CC"/>
    <w:rsid w:val="00C63448"/>
    <w:rsid w:val="00C70126"/>
    <w:rsid w:val="00C70185"/>
    <w:rsid w:val="00C73645"/>
    <w:rsid w:val="00C94B42"/>
    <w:rsid w:val="00CA1E20"/>
    <w:rsid w:val="00CA3372"/>
    <w:rsid w:val="00CB18DE"/>
    <w:rsid w:val="00CC4767"/>
    <w:rsid w:val="00D0136B"/>
    <w:rsid w:val="00D1549E"/>
    <w:rsid w:val="00D211A9"/>
    <w:rsid w:val="00D2344C"/>
    <w:rsid w:val="00D54D1B"/>
    <w:rsid w:val="00D60616"/>
    <w:rsid w:val="00E02283"/>
    <w:rsid w:val="00E0767B"/>
    <w:rsid w:val="00E137ED"/>
    <w:rsid w:val="00E22D88"/>
    <w:rsid w:val="00E40EA9"/>
    <w:rsid w:val="00E45CC8"/>
    <w:rsid w:val="00E567AD"/>
    <w:rsid w:val="00E72140"/>
    <w:rsid w:val="00E85F18"/>
    <w:rsid w:val="00E878D5"/>
    <w:rsid w:val="00E9577C"/>
    <w:rsid w:val="00EB77E5"/>
    <w:rsid w:val="00EE563D"/>
    <w:rsid w:val="00EF6D8C"/>
    <w:rsid w:val="00EF730C"/>
    <w:rsid w:val="00F0190B"/>
    <w:rsid w:val="00F05545"/>
    <w:rsid w:val="00F17A65"/>
    <w:rsid w:val="00F17C10"/>
    <w:rsid w:val="00F26A2F"/>
    <w:rsid w:val="00F3015E"/>
    <w:rsid w:val="00F47936"/>
    <w:rsid w:val="00F639AF"/>
    <w:rsid w:val="00F92048"/>
    <w:rsid w:val="00FA485F"/>
    <w:rsid w:val="00FA6C7D"/>
    <w:rsid w:val="00FE2D01"/>
    <w:rsid w:val="00FE4DE6"/>
    <w:rsid w:val="00FF6F04"/>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1C"/>
  </w:style>
  <w:style w:type="paragraph" w:styleId="1">
    <w:name w:val="heading 1"/>
    <w:basedOn w:val="a"/>
    <w:link w:val="10"/>
    <w:uiPriority w:val="9"/>
    <w:qFormat/>
    <w:rsid w:val="00F6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D54"/>
    <w:rPr>
      <w:b/>
      <w:bCs/>
    </w:rPr>
  </w:style>
  <w:style w:type="paragraph" w:styleId="a5">
    <w:name w:val="header"/>
    <w:basedOn w:val="a"/>
    <w:link w:val="a6"/>
    <w:uiPriority w:val="99"/>
    <w:unhideWhenUsed/>
    <w:rsid w:val="00BF39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992"/>
  </w:style>
  <w:style w:type="paragraph" w:styleId="a7">
    <w:name w:val="footer"/>
    <w:basedOn w:val="a"/>
    <w:link w:val="a8"/>
    <w:uiPriority w:val="99"/>
    <w:unhideWhenUsed/>
    <w:rsid w:val="00BF39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992"/>
  </w:style>
  <w:style w:type="character" w:styleId="a9">
    <w:name w:val="Hyperlink"/>
    <w:basedOn w:val="a0"/>
    <w:uiPriority w:val="99"/>
    <w:semiHidden/>
    <w:unhideWhenUsed/>
    <w:rsid w:val="00F639AF"/>
    <w:rPr>
      <w:color w:val="0000FF"/>
      <w:u w:val="single"/>
    </w:rPr>
  </w:style>
  <w:style w:type="character" w:styleId="aa">
    <w:name w:val="Emphasis"/>
    <w:basedOn w:val="a0"/>
    <w:uiPriority w:val="20"/>
    <w:qFormat/>
    <w:rsid w:val="00F639AF"/>
    <w:rPr>
      <w:i/>
      <w:iCs/>
    </w:rPr>
  </w:style>
  <w:style w:type="table" w:styleId="ab">
    <w:name w:val="Table Grid"/>
    <w:basedOn w:val="a1"/>
    <w:uiPriority w:val="59"/>
    <w:rsid w:val="000A29B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7008865">
      <w:bodyDiv w:val="1"/>
      <w:marLeft w:val="0"/>
      <w:marRight w:val="0"/>
      <w:marTop w:val="0"/>
      <w:marBottom w:val="0"/>
      <w:divBdr>
        <w:top w:val="none" w:sz="0" w:space="0" w:color="auto"/>
        <w:left w:val="none" w:sz="0" w:space="0" w:color="auto"/>
        <w:bottom w:val="none" w:sz="0" w:space="0" w:color="auto"/>
        <w:right w:val="none" w:sz="0" w:space="0" w:color="auto"/>
      </w:divBdr>
    </w:div>
    <w:div w:id="1049764838">
      <w:bodyDiv w:val="1"/>
      <w:marLeft w:val="0"/>
      <w:marRight w:val="0"/>
      <w:marTop w:val="0"/>
      <w:marBottom w:val="0"/>
      <w:divBdr>
        <w:top w:val="none" w:sz="0" w:space="0" w:color="auto"/>
        <w:left w:val="none" w:sz="0" w:space="0" w:color="auto"/>
        <w:bottom w:val="none" w:sz="0" w:space="0" w:color="auto"/>
        <w:right w:val="none" w:sz="0" w:space="0" w:color="auto"/>
      </w:divBdr>
      <w:divsChild>
        <w:div w:id="1958640439">
          <w:marLeft w:val="0"/>
          <w:marRight w:val="0"/>
          <w:marTop w:val="0"/>
          <w:marBottom w:val="0"/>
          <w:divBdr>
            <w:top w:val="none" w:sz="0" w:space="0" w:color="auto"/>
            <w:left w:val="none" w:sz="0" w:space="0" w:color="auto"/>
            <w:bottom w:val="none" w:sz="0" w:space="0" w:color="auto"/>
            <w:right w:val="none" w:sz="0" w:space="0" w:color="auto"/>
          </w:divBdr>
          <w:divsChild>
            <w:div w:id="1383363842">
              <w:marLeft w:val="-225"/>
              <w:marRight w:val="-225"/>
              <w:marTop w:val="0"/>
              <w:marBottom w:val="0"/>
              <w:divBdr>
                <w:top w:val="none" w:sz="0" w:space="0" w:color="auto"/>
                <w:left w:val="none" w:sz="0" w:space="0" w:color="auto"/>
                <w:bottom w:val="none" w:sz="0" w:space="0" w:color="auto"/>
                <w:right w:val="none" w:sz="0" w:space="0" w:color="auto"/>
              </w:divBdr>
              <w:divsChild>
                <w:div w:id="637683365">
                  <w:marLeft w:val="0"/>
                  <w:marRight w:val="0"/>
                  <w:marTop w:val="0"/>
                  <w:marBottom w:val="0"/>
                  <w:divBdr>
                    <w:top w:val="none" w:sz="0" w:space="0" w:color="auto"/>
                    <w:left w:val="none" w:sz="0" w:space="0" w:color="auto"/>
                    <w:bottom w:val="none" w:sz="0" w:space="0" w:color="auto"/>
                    <w:right w:val="none" w:sz="0" w:space="0" w:color="auto"/>
                  </w:divBdr>
                  <w:divsChild>
                    <w:div w:id="1256479064">
                      <w:marLeft w:val="0"/>
                      <w:marRight w:val="0"/>
                      <w:marTop w:val="0"/>
                      <w:marBottom w:val="0"/>
                      <w:divBdr>
                        <w:top w:val="none" w:sz="0" w:space="0" w:color="auto"/>
                        <w:left w:val="none" w:sz="0" w:space="0" w:color="auto"/>
                        <w:bottom w:val="none" w:sz="0" w:space="0" w:color="auto"/>
                        <w:right w:val="none" w:sz="0" w:space="0" w:color="auto"/>
                      </w:divBdr>
                      <w:divsChild>
                        <w:div w:id="1958944141">
                          <w:marLeft w:val="0"/>
                          <w:marRight w:val="0"/>
                          <w:marTop w:val="0"/>
                          <w:marBottom w:val="0"/>
                          <w:divBdr>
                            <w:top w:val="none" w:sz="0" w:space="0" w:color="auto"/>
                            <w:left w:val="none" w:sz="0" w:space="0" w:color="auto"/>
                            <w:bottom w:val="none" w:sz="0" w:space="0" w:color="auto"/>
                            <w:right w:val="none" w:sz="0" w:space="0" w:color="auto"/>
                          </w:divBdr>
                          <w:divsChild>
                            <w:div w:id="414976641">
                              <w:marLeft w:val="0"/>
                              <w:marRight w:val="0"/>
                              <w:marTop w:val="0"/>
                              <w:marBottom w:val="0"/>
                              <w:divBdr>
                                <w:top w:val="none" w:sz="0" w:space="0" w:color="auto"/>
                                <w:left w:val="none" w:sz="0" w:space="0" w:color="auto"/>
                                <w:bottom w:val="none" w:sz="0" w:space="0" w:color="auto"/>
                                <w:right w:val="none" w:sz="0" w:space="0" w:color="auto"/>
                              </w:divBdr>
                              <w:divsChild>
                                <w:div w:id="1310944501">
                                  <w:marLeft w:val="0"/>
                                  <w:marRight w:val="0"/>
                                  <w:marTop w:val="0"/>
                                  <w:marBottom w:val="0"/>
                                  <w:divBdr>
                                    <w:top w:val="none" w:sz="0" w:space="0" w:color="auto"/>
                                    <w:left w:val="none" w:sz="0" w:space="0" w:color="auto"/>
                                    <w:bottom w:val="none" w:sz="0" w:space="0" w:color="auto"/>
                                    <w:right w:val="none" w:sz="0" w:space="0" w:color="auto"/>
                                  </w:divBdr>
                                  <w:divsChild>
                                    <w:div w:id="1396778849">
                                      <w:marLeft w:val="0"/>
                                      <w:marRight w:val="0"/>
                                      <w:marTop w:val="0"/>
                                      <w:marBottom w:val="0"/>
                                      <w:divBdr>
                                        <w:top w:val="none" w:sz="0" w:space="0" w:color="auto"/>
                                        <w:left w:val="none" w:sz="0" w:space="0" w:color="auto"/>
                                        <w:bottom w:val="none" w:sz="0" w:space="0" w:color="auto"/>
                                        <w:right w:val="none" w:sz="0" w:space="0" w:color="auto"/>
                                      </w:divBdr>
                                      <w:divsChild>
                                        <w:div w:id="127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5%D0%B7%D0%B6%D0%B0%D1%8F_%D1%87%D0%B0%D1%81%D1%82%D1%8C" TargetMode="External"/><Relationship Id="rId13" Type="http://schemas.openxmlformats.org/officeDocument/2006/relationships/hyperlink" Target="garantf1://2225092.0" TargetMode="External"/><Relationship Id="rId18" Type="http://schemas.openxmlformats.org/officeDocument/2006/relationships/hyperlink" Target="garantf1://36685000.0" TargetMode="External"/><Relationship Id="rId26" Type="http://schemas.openxmlformats.org/officeDocument/2006/relationships/hyperlink" Target="http://bogorodsky-okrug.ru/documents/proekt-mestnye-normativy-gradostroitelnogo-proektirovaniya-bogorodskogo-gorodskogo-okruga-moskovskoj-oblasti-14-10-2019/" TargetMode="External"/><Relationship Id="rId3" Type="http://schemas.openxmlformats.org/officeDocument/2006/relationships/settings" Target="settings.xml"/><Relationship Id="rId21" Type="http://schemas.openxmlformats.org/officeDocument/2006/relationships/hyperlink" Target="http://bogorodsky-okrug.ru/documents/proekt-mestnye-normativy-gradostroitelnogo-proektirovaniya-bogorodskogo-gorodskogo-okruga-moskovskoj-oblasti-14-10-2019/" TargetMode="External"/><Relationship Id="rId7" Type="http://schemas.openxmlformats.org/officeDocument/2006/relationships/hyperlink" Target="http://bogorodsky-okrug.ru/documents/proekt-mestnye-normativy-gradostroitelnogo-proektirovaniya-bogorodskogo-gorodskogo-okruga-moskovskoj-oblasti-14-10-2019/" TargetMode="External"/><Relationship Id="rId12" Type="http://schemas.openxmlformats.org/officeDocument/2006/relationships/hyperlink" Target="https://ru.wikipedia.org/wiki/%D0%94%D0%BE%D1%80%D0%BE%D0%B6%D0%BD%D0%B0%D1%8F_%D1%80%D0%B0%D0%B7%D0%BC%D0%B5%D1%82%D0%BA%D0%B0" TargetMode="External"/><Relationship Id="rId17" Type="http://schemas.openxmlformats.org/officeDocument/2006/relationships/hyperlink" Target="http://bogorodsky-okrug.ru/documents/proekt-mestnye-normativy-gradostroitelnogo-proektirovaniya-bogorodskogo-gorodskogo-okruga-moskovskoj-oblasti-14-10-2019/" TargetMode="External"/><Relationship Id="rId25" Type="http://schemas.openxmlformats.org/officeDocument/2006/relationships/hyperlink" Target="http://bogorodsky-okrug.ru/documents/proekt-mestnye-normativy-gradostroitelnogo-proektirovaniya-bogorodskogo-gorodskogo-okruga-moskovskoj-oblasti-14-10-2019/" TargetMode="External"/><Relationship Id="rId2" Type="http://schemas.openxmlformats.org/officeDocument/2006/relationships/styles" Target="styles.xml"/><Relationship Id="rId16" Type="http://schemas.openxmlformats.org/officeDocument/2006/relationships/hyperlink" Target="garantf1://36685000.0" TargetMode="External"/><Relationship Id="rId20" Type="http://schemas.openxmlformats.org/officeDocument/2006/relationships/hyperlink" Target="garantf1://366850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E%D1%80%D1%82%D0%BE%D0%B2%D0%BE%D0%B9_%D0%BA%D0%B0%D0%BC%D0%B5%D0%BD%D1%8C" TargetMode="External"/><Relationship Id="rId24" Type="http://schemas.openxmlformats.org/officeDocument/2006/relationships/hyperlink" Target="http://docs.cntd.ru/document/456011260" TargetMode="External"/><Relationship Id="rId5" Type="http://schemas.openxmlformats.org/officeDocument/2006/relationships/footnotes" Target="footnotes.xml"/><Relationship Id="rId15" Type="http://schemas.openxmlformats.org/officeDocument/2006/relationships/hyperlink" Target="http://bogorodsky-okrug.ru/documents/proekt-mestnye-normativy-gradostroitelnogo-proektirovaniya-bogorodskogo-gorodskogo-okruga-moskovskoj-oblasti-14-10-2019/" TargetMode="External"/><Relationship Id="rId23" Type="http://schemas.openxmlformats.org/officeDocument/2006/relationships/hyperlink" Target="http://docs.cntd.ru/document/456011260" TargetMode="External"/><Relationship Id="rId28" Type="http://schemas.openxmlformats.org/officeDocument/2006/relationships/footer" Target="footer1.xml"/><Relationship Id="rId10" Type="http://schemas.openxmlformats.org/officeDocument/2006/relationships/hyperlink" Target="https://ru.wikipedia.org/wiki/%D0%93%D0%B0%D0%B7%D0%BE%D0%BD" TargetMode="External"/><Relationship Id="rId19" Type="http://schemas.openxmlformats.org/officeDocument/2006/relationships/hyperlink" Target="http://bogorodsky-okrug.ru/documents/proekt-mestnye-normativy-gradostroitelnogo-proektirovaniya-bogorodskogo-gorodskogo-okruga-moskovskoj-oblasti-14-10-2019/" TargetMode="External"/><Relationship Id="rId4" Type="http://schemas.openxmlformats.org/officeDocument/2006/relationships/webSettings" Target="webSettings.xml"/><Relationship Id="rId9" Type="http://schemas.openxmlformats.org/officeDocument/2006/relationships/hyperlink" Target="https://ru.wikipedia.org/w/index.php?title=%D0%A0%D0%B0%D0%B7%D0%B4%D0%B5%D0%BB%D0%B8%D1%82%D0%B5%D0%BB%D1%8C%D0%BD%D0%B0%D1%8F_%D0%BF%D0%BE%D0%BB%D0%BE%D1%81%D0%B0&amp;action=edit&amp;redlink=1" TargetMode="External"/><Relationship Id="rId14" Type="http://schemas.openxmlformats.org/officeDocument/2006/relationships/hyperlink" Target="garantf1://36693214.0/" TargetMode="External"/><Relationship Id="rId22" Type="http://schemas.openxmlformats.org/officeDocument/2006/relationships/hyperlink" Target="http://bogorodsky-okrug.ru/documents/proekt-mestnye-normativy-gradostroitelnogo-proektirovaniya-bogorodskogo-gorodskogo-okruga-moskovskoj-oblasti-14-10-2019/" TargetMode="External"/><Relationship Id="rId27" Type="http://schemas.openxmlformats.org/officeDocument/2006/relationships/hyperlink" Target="http://bogorodsky-okrug.ru/documents/proekt-mestnye-normativy-gradostroitelnogo-proektirovaniya-bogorodskogo-gorodskogo-okruga-moskovskoj-oblasti-14-10-20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17708</Words>
  <Characters>100940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cp:lastModifiedBy>
  <cp:revision>6</cp:revision>
  <cp:lastPrinted>2019-12-17T13:08:00Z</cp:lastPrinted>
  <dcterms:created xsi:type="dcterms:W3CDTF">2019-12-18T06:13:00Z</dcterms:created>
  <dcterms:modified xsi:type="dcterms:W3CDTF">2019-12-26T08:57:00Z</dcterms:modified>
</cp:coreProperties>
</file>